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D755EFF">
      <w:pPr>
        <w:keepNext w:val="0"/>
        <w:keepLines w:val="0"/>
        <w:pageBreakBefore w:val="0"/>
        <w:kinsoku/>
        <w:overflowPunct/>
        <w:topLinePunct w:val="0"/>
        <w:bidi w:val="0"/>
        <w:snapToGrid/>
        <w:spacing w:line="600" w:lineRule="exact"/>
        <w:ind w:left="0" w:leftChars="0" w:firstLine="0" w:firstLineChars="0"/>
        <w:jc w:val="center"/>
        <w:textAlignment w:val="auto"/>
        <w:rPr>
          <w:rFonts w:hint="eastAsia" w:ascii="方正小标宋简体" w:hAnsi="宋体" w:eastAsia="方正小标宋简体"/>
          <w:color w:val="auto"/>
          <w:sz w:val="44"/>
          <w:szCs w:val="32"/>
        </w:rPr>
      </w:pPr>
      <w:r>
        <w:rPr>
          <w:rFonts w:hint="eastAsia" w:ascii="方正小标宋简体" w:hAnsi="宋体" w:eastAsia="方正小标宋简体"/>
          <w:color w:val="auto"/>
          <w:sz w:val="44"/>
          <w:szCs w:val="32"/>
        </w:rPr>
        <w:t>团体标准《经方医学六经辨证体系治疗痹病</w:t>
      </w:r>
    </w:p>
    <w:p w14:paraId="67EFCAD8">
      <w:pPr>
        <w:keepNext w:val="0"/>
        <w:keepLines w:val="0"/>
        <w:pageBreakBefore w:val="0"/>
        <w:kinsoku/>
        <w:overflowPunct/>
        <w:topLinePunct w:val="0"/>
        <w:bidi w:val="0"/>
        <w:snapToGrid/>
        <w:spacing w:line="600" w:lineRule="exact"/>
        <w:ind w:left="0" w:leftChars="0" w:firstLine="0" w:firstLineChars="0"/>
        <w:jc w:val="center"/>
        <w:textAlignment w:val="auto"/>
        <w:rPr>
          <w:rFonts w:ascii="方正小标宋简体" w:hAnsi="宋体" w:eastAsia="方正小标宋简体"/>
          <w:color w:val="auto"/>
          <w:sz w:val="44"/>
          <w:szCs w:val="32"/>
        </w:rPr>
      </w:pPr>
      <w:r>
        <w:rPr>
          <w:rFonts w:hint="eastAsia" w:ascii="方正小标宋简体" w:hAnsi="宋体" w:eastAsia="方正小标宋简体"/>
          <w:color w:val="auto"/>
          <w:sz w:val="44"/>
          <w:szCs w:val="32"/>
        </w:rPr>
        <w:t>技术规范》（征求意见稿）编制说明</w:t>
      </w:r>
    </w:p>
    <w:p w14:paraId="7545AED6">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p>
    <w:p w14:paraId="0D5136F0">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一、任务来源、起草单位、主要起草人</w:t>
      </w:r>
    </w:p>
    <w:p w14:paraId="7FB55DF0">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highlight w:val="none"/>
        </w:rPr>
        <w:t>根据《广西标准化协会关于下达20</w:t>
      </w:r>
      <w:r>
        <w:rPr>
          <w:rFonts w:hint="eastAsia" w:ascii="仿宋_GB2312" w:hAnsi="宋体"/>
          <w:color w:val="auto"/>
          <w:sz w:val="32"/>
          <w:szCs w:val="28"/>
          <w:highlight w:val="none"/>
          <w:lang w:val="en-US" w:eastAsia="zh-CN"/>
        </w:rPr>
        <w:t>26</w:t>
      </w:r>
      <w:r>
        <w:rPr>
          <w:rFonts w:hint="eastAsia" w:ascii="仿宋_GB2312" w:hAnsi="宋体" w:eastAsia="仿宋_GB2312"/>
          <w:color w:val="auto"/>
          <w:sz w:val="32"/>
          <w:szCs w:val="28"/>
          <w:highlight w:val="none"/>
        </w:rPr>
        <w:t>年第</w:t>
      </w:r>
      <w:r>
        <w:rPr>
          <w:rFonts w:hint="eastAsia" w:ascii="仿宋_GB2312" w:hAnsi="宋体"/>
          <w:color w:val="auto"/>
          <w:sz w:val="32"/>
          <w:szCs w:val="28"/>
          <w:highlight w:val="none"/>
          <w:lang w:val="en-US" w:eastAsia="zh-CN"/>
        </w:rPr>
        <w:t>七</w:t>
      </w:r>
      <w:r>
        <w:rPr>
          <w:rFonts w:hint="eastAsia" w:ascii="仿宋_GB2312" w:hAnsi="宋体" w:eastAsia="仿宋_GB2312"/>
          <w:color w:val="auto"/>
          <w:sz w:val="32"/>
          <w:szCs w:val="28"/>
          <w:highlight w:val="none"/>
        </w:rPr>
        <w:t>批团体标准制修订项目计划的通知》（桂标协〔20</w:t>
      </w:r>
      <w:r>
        <w:rPr>
          <w:rFonts w:hint="eastAsia" w:ascii="仿宋_GB2312" w:hAnsi="宋体"/>
          <w:color w:val="auto"/>
          <w:sz w:val="32"/>
          <w:szCs w:val="28"/>
          <w:highlight w:val="none"/>
          <w:lang w:val="en-US" w:eastAsia="zh-CN"/>
        </w:rPr>
        <w:t>26</w:t>
      </w:r>
      <w:r>
        <w:rPr>
          <w:rFonts w:hint="eastAsia" w:ascii="仿宋_GB2312" w:hAnsi="宋体" w:eastAsia="仿宋_GB2312"/>
          <w:color w:val="auto"/>
          <w:sz w:val="32"/>
          <w:szCs w:val="28"/>
          <w:highlight w:val="none"/>
        </w:rPr>
        <w:t>〕</w:t>
      </w:r>
      <w:r>
        <w:rPr>
          <w:rFonts w:hint="eastAsia" w:ascii="仿宋_GB2312" w:hAnsi="宋体"/>
          <w:color w:val="auto"/>
          <w:sz w:val="32"/>
          <w:szCs w:val="28"/>
          <w:highlight w:val="none"/>
          <w:lang w:val="en-US" w:eastAsia="zh-CN"/>
        </w:rPr>
        <w:t>79</w:t>
      </w:r>
      <w:r>
        <w:rPr>
          <w:rFonts w:hint="eastAsia" w:ascii="仿宋_GB2312" w:hAnsi="宋体" w:eastAsia="仿宋_GB2312"/>
          <w:color w:val="auto"/>
          <w:sz w:val="32"/>
          <w:szCs w:val="28"/>
          <w:highlight w:val="none"/>
        </w:rPr>
        <w:t>号）文件精神，由</w:t>
      </w:r>
      <w:r>
        <w:rPr>
          <w:rFonts w:hint="eastAsia" w:ascii="仿宋_GB2312" w:hAnsi="宋体"/>
          <w:color w:val="auto"/>
          <w:sz w:val="32"/>
          <w:szCs w:val="28"/>
          <w:highlight w:val="none"/>
          <w:lang w:val="en-US" w:eastAsia="zh-CN"/>
        </w:rPr>
        <w:t>玉林市中医医院</w:t>
      </w:r>
      <w:r>
        <w:rPr>
          <w:rFonts w:hint="eastAsia" w:ascii="仿宋_GB2312" w:hAnsi="宋体" w:eastAsia="仿宋_GB2312"/>
          <w:color w:val="auto"/>
          <w:sz w:val="32"/>
          <w:szCs w:val="28"/>
          <w:highlight w:val="none"/>
        </w:rPr>
        <w:t>提出，</w:t>
      </w:r>
      <w:r>
        <w:rPr>
          <w:rFonts w:hint="eastAsia" w:ascii="仿宋_GB2312" w:hAnsi="宋体"/>
          <w:color w:val="auto"/>
          <w:sz w:val="32"/>
          <w:szCs w:val="28"/>
          <w:highlight w:val="none"/>
          <w:lang w:val="en-US" w:eastAsia="zh-CN"/>
        </w:rPr>
        <w:t>玉林市中医医院、广西中医药大学第一附属医院、钦州市中医医院、南宁市妇幼保健院</w:t>
      </w:r>
      <w:r>
        <w:rPr>
          <w:rFonts w:hint="eastAsia" w:ascii="仿宋_GB2312" w:hAnsi="宋体" w:eastAsia="仿宋_GB2312"/>
          <w:color w:val="auto"/>
          <w:sz w:val="32"/>
          <w:szCs w:val="28"/>
          <w:highlight w:val="none"/>
        </w:rPr>
        <w:t>等</w:t>
      </w:r>
      <w:r>
        <w:rPr>
          <w:rFonts w:ascii="仿宋_GB2312" w:hAnsi="宋体" w:eastAsia="仿宋_GB2312"/>
          <w:color w:val="auto"/>
          <w:sz w:val="32"/>
          <w:szCs w:val="28"/>
          <w:highlight w:val="none"/>
        </w:rPr>
        <w:t>单位</w:t>
      </w:r>
      <w:r>
        <w:rPr>
          <w:rFonts w:hint="eastAsia" w:ascii="仿宋_GB2312" w:hAnsi="宋体" w:eastAsia="仿宋_GB2312"/>
          <w:color w:val="auto"/>
          <w:sz w:val="32"/>
          <w:szCs w:val="28"/>
          <w:highlight w:val="none"/>
        </w:rPr>
        <w:t>共同起草的团体标准《经方医学六经辨证体系治疗痹病技术规范》（项目编号：20</w:t>
      </w:r>
      <w:r>
        <w:rPr>
          <w:rFonts w:hint="eastAsia" w:ascii="仿宋_GB2312" w:hAnsi="宋体"/>
          <w:color w:val="auto"/>
          <w:sz w:val="32"/>
          <w:szCs w:val="28"/>
          <w:highlight w:val="none"/>
          <w:lang w:val="en-US" w:eastAsia="zh-CN"/>
        </w:rPr>
        <w:t>26</w:t>
      </w:r>
      <w:r>
        <w:rPr>
          <w:rFonts w:hint="eastAsia" w:ascii="仿宋_GB2312" w:hAnsi="宋体" w:eastAsia="仿宋_GB2312"/>
          <w:color w:val="auto"/>
          <w:sz w:val="32"/>
          <w:szCs w:val="28"/>
          <w:highlight w:val="none"/>
        </w:rPr>
        <w:t>-</w:t>
      </w:r>
      <w:r>
        <w:rPr>
          <w:rFonts w:hint="eastAsia" w:ascii="仿宋_GB2312" w:hAnsi="宋体"/>
          <w:color w:val="auto"/>
          <w:sz w:val="32"/>
          <w:szCs w:val="28"/>
          <w:highlight w:val="none"/>
          <w:lang w:val="en-US" w:eastAsia="zh-CN"/>
        </w:rPr>
        <w:t>0735</w:t>
      </w:r>
      <w:r>
        <w:rPr>
          <w:rFonts w:hint="eastAsia" w:ascii="仿宋_GB2312" w:hAnsi="宋体" w:eastAsia="仿宋_GB2312"/>
          <w:color w:val="auto"/>
          <w:sz w:val="32"/>
          <w:szCs w:val="28"/>
          <w:highlight w:val="none"/>
        </w:rPr>
        <w:t>）已获批</w:t>
      </w:r>
      <w:r>
        <w:rPr>
          <w:rFonts w:hint="eastAsia" w:ascii="仿宋_GB2312" w:hAnsi="宋体" w:eastAsia="仿宋_GB2312"/>
          <w:color w:val="auto"/>
          <w:sz w:val="32"/>
          <w:szCs w:val="28"/>
        </w:rPr>
        <w:t>立项。</w:t>
      </w:r>
    </w:p>
    <w:p w14:paraId="134AFA4C">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为高质量编制团体标准《经方医学六经辨证体系治疗痹病技术规范》，由起草单位成立标准编制工作组并进行如下分工：</w:t>
      </w:r>
    </w:p>
    <w:tbl>
      <w:tblPr>
        <w:tblStyle w:val="6"/>
        <w:tblW w:w="4996" w:type="pct"/>
        <w:tblInd w:w="113" w:type="dxa"/>
        <w:tblLayout w:type="autofit"/>
        <w:tblCellMar>
          <w:top w:w="0" w:type="dxa"/>
          <w:left w:w="108" w:type="dxa"/>
          <w:bottom w:w="0" w:type="dxa"/>
          <w:right w:w="108" w:type="dxa"/>
        </w:tblCellMar>
      </w:tblPr>
      <w:tblGrid>
        <w:gridCol w:w="939"/>
        <w:gridCol w:w="1437"/>
        <w:gridCol w:w="1278"/>
        <w:gridCol w:w="2402"/>
        <w:gridCol w:w="3111"/>
      </w:tblGrid>
      <w:tr w14:paraId="46DA1E15">
        <w:tblPrEx>
          <w:tblCellMar>
            <w:top w:w="0" w:type="dxa"/>
            <w:left w:w="108" w:type="dxa"/>
            <w:bottom w:w="0" w:type="dxa"/>
            <w:right w:w="108" w:type="dxa"/>
          </w:tblCellMar>
        </w:tblPrEx>
        <w:trPr>
          <w:cantSplit/>
          <w:trHeight w:val="578" w:hRule="atLeast"/>
          <w:tblHeader/>
        </w:trPr>
        <w:tc>
          <w:tcPr>
            <w:tcW w:w="512" w:type="pct"/>
            <w:tcBorders>
              <w:top w:val="single" w:color="auto" w:sz="4" w:space="0"/>
              <w:left w:val="single" w:color="auto" w:sz="4" w:space="0"/>
              <w:bottom w:val="single" w:color="auto" w:sz="4" w:space="0"/>
              <w:right w:val="single" w:color="auto" w:sz="4" w:space="0"/>
            </w:tcBorders>
            <w:noWrap w:val="0"/>
            <w:vAlign w:val="center"/>
          </w:tcPr>
          <w:p w14:paraId="61BBD05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color w:val="auto"/>
                <w:sz w:val="24"/>
              </w:rPr>
            </w:pPr>
            <w:r>
              <w:rPr>
                <w:rFonts w:hint="eastAsia" w:ascii="仿宋_GB2312" w:hAnsi="仿宋_GB2312" w:eastAsia="仿宋_GB2312" w:cs="仿宋_GB2312"/>
                <w:b/>
                <w:bCs/>
                <w:color w:val="auto"/>
                <w:sz w:val="24"/>
              </w:rPr>
              <w:t>姓 名</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39FA2F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color w:val="auto"/>
                <w:sz w:val="24"/>
              </w:rPr>
            </w:pPr>
            <w:r>
              <w:rPr>
                <w:rFonts w:hint="eastAsia" w:ascii="仿宋_GB2312" w:hAnsi="仿宋_GB2312" w:eastAsia="仿宋_GB2312" w:cs="仿宋_GB2312"/>
                <w:b/>
                <w:bCs/>
                <w:color w:val="auto"/>
                <w:sz w:val="24"/>
              </w:rPr>
              <w:t>从事</w:t>
            </w:r>
          </w:p>
          <w:p w14:paraId="6927769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color w:val="auto"/>
                <w:sz w:val="24"/>
              </w:rPr>
            </w:pPr>
            <w:r>
              <w:rPr>
                <w:rFonts w:hint="eastAsia" w:ascii="仿宋_GB2312" w:hAnsi="仿宋_GB2312" w:eastAsia="仿宋_GB2312" w:cs="仿宋_GB2312"/>
                <w:b/>
                <w:bCs/>
                <w:color w:val="auto"/>
                <w:sz w:val="24"/>
              </w:rPr>
              <w:t>专业</w:t>
            </w:r>
          </w:p>
        </w:tc>
        <w:tc>
          <w:tcPr>
            <w:tcW w:w="697" w:type="pct"/>
            <w:tcBorders>
              <w:top w:val="single" w:color="auto" w:sz="4" w:space="0"/>
              <w:left w:val="single" w:color="auto" w:sz="4" w:space="0"/>
              <w:bottom w:val="single" w:color="auto" w:sz="4" w:space="0"/>
              <w:right w:val="single" w:color="auto" w:sz="4" w:space="0"/>
            </w:tcBorders>
            <w:noWrap w:val="0"/>
            <w:vAlign w:val="center"/>
          </w:tcPr>
          <w:p w14:paraId="164DC56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color w:val="auto"/>
                <w:sz w:val="24"/>
              </w:rPr>
            </w:pPr>
            <w:r>
              <w:rPr>
                <w:rFonts w:hint="eastAsia" w:ascii="仿宋_GB2312" w:hAnsi="仿宋_GB2312" w:eastAsia="仿宋_GB2312" w:cs="仿宋_GB2312"/>
                <w:b/>
                <w:bCs/>
                <w:color w:val="auto"/>
                <w:sz w:val="24"/>
              </w:rPr>
              <w:t>职称/</w:t>
            </w:r>
          </w:p>
          <w:p w14:paraId="7E2B0E6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color w:val="auto"/>
                <w:sz w:val="24"/>
              </w:rPr>
            </w:pPr>
            <w:r>
              <w:rPr>
                <w:rFonts w:hint="eastAsia" w:ascii="仿宋_GB2312" w:hAnsi="仿宋_GB2312" w:eastAsia="仿宋_GB2312" w:cs="仿宋_GB2312"/>
                <w:b/>
                <w:bCs/>
                <w:color w:val="auto"/>
                <w:sz w:val="24"/>
              </w:rPr>
              <w:t>职位</w:t>
            </w:r>
          </w:p>
        </w:tc>
        <w:tc>
          <w:tcPr>
            <w:tcW w:w="1310" w:type="pct"/>
            <w:tcBorders>
              <w:top w:val="single" w:color="auto" w:sz="4" w:space="0"/>
              <w:left w:val="single" w:color="auto" w:sz="4" w:space="0"/>
              <w:bottom w:val="single" w:color="auto" w:sz="4" w:space="0"/>
              <w:right w:val="single" w:color="auto" w:sz="4" w:space="0"/>
            </w:tcBorders>
            <w:noWrap w:val="0"/>
            <w:vAlign w:val="center"/>
          </w:tcPr>
          <w:p w14:paraId="5BAA9F8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color w:val="auto"/>
                <w:sz w:val="24"/>
              </w:rPr>
            </w:pPr>
            <w:r>
              <w:rPr>
                <w:rFonts w:hint="eastAsia" w:ascii="仿宋_GB2312" w:hAnsi="仿宋_GB2312" w:eastAsia="仿宋_GB2312" w:cs="仿宋_GB2312"/>
                <w:b/>
                <w:bCs/>
                <w:color w:val="auto"/>
                <w:sz w:val="24"/>
              </w:rPr>
              <w:t>工作单位</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9C9C1F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bCs/>
                <w:color w:val="auto"/>
                <w:sz w:val="24"/>
              </w:rPr>
            </w:pPr>
            <w:r>
              <w:rPr>
                <w:rFonts w:hint="eastAsia" w:ascii="仿宋_GB2312" w:hAnsi="仿宋_GB2312" w:eastAsia="仿宋_GB2312" w:cs="仿宋_GB2312"/>
                <w:b/>
                <w:bCs/>
                <w:color w:val="auto"/>
                <w:sz w:val="24"/>
              </w:rPr>
              <w:t>主要负责工作</w:t>
            </w:r>
          </w:p>
        </w:tc>
      </w:tr>
      <w:tr w14:paraId="3BDD89F3">
        <w:tblPrEx>
          <w:tblCellMar>
            <w:top w:w="0" w:type="dxa"/>
            <w:left w:w="108" w:type="dxa"/>
            <w:bottom w:w="0" w:type="dxa"/>
            <w:right w:w="108" w:type="dxa"/>
          </w:tblCellMar>
        </w:tblPrEx>
        <w:trPr>
          <w:cantSplit/>
          <w:trHeight w:val="732"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5BD31D1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黎展文</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D80DB6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0" w:name="OLE_LINK1"/>
            <w:r>
              <w:rPr>
                <w:rFonts w:hint="eastAsia" w:ascii="仿宋_GB2312" w:hAnsi="仿宋_GB2312" w:eastAsia="仿宋_GB2312" w:cs="仿宋_GB2312"/>
                <w:b w:val="0"/>
                <w:bCs w:val="0"/>
                <w:color w:val="auto"/>
                <w:sz w:val="24"/>
              </w:rPr>
              <w:t>中医骨伤科</w:t>
            </w:r>
            <w:bookmarkEnd w:id="0"/>
          </w:p>
        </w:tc>
        <w:tc>
          <w:tcPr>
            <w:tcW w:w="697" w:type="pct"/>
            <w:tcBorders>
              <w:top w:val="single" w:color="000000" w:sz="2" w:space="0"/>
              <w:left w:val="single" w:color="auto" w:sz="4" w:space="0"/>
              <w:bottom w:val="single" w:color="auto" w:sz="4" w:space="0"/>
              <w:right w:val="single" w:color="auto" w:sz="4" w:space="0"/>
            </w:tcBorders>
            <w:noWrap w:val="0"/>
            <w:vAlign w:val="center"/>
          </w:tcPr>
          <w:p w14:paraId="44A0D6F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主任医师</w:t>
            </w:r>
          </w:p>
        </w:tc>
        <w:tc>
          <w:tcPr>
            <w:tcW w:w="1310" w:type="pct"/>
            <w:tcBorders>
              <w:top w:val="single" w:color="000000" w:sz="2" w:space="0"/>
              <w:left w:val="single" w:color="auto" w:sz="4" w:space="0"/>
              <w:bottom w:val="single" w:color="auto" w:sz="4" w:space="0"/>
              <w:right w:val="single" w:color="auto" w:sz="4" w:space="0"/>
            </w:tcBorders>
            <w:noWrap w:val="0"/>
            <w:vAlign w:val="center"/>
          </w:tcPr>
          <w:p w14:paraId="7CD08BD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 w:name="OLE_LINK2"/>
            <w:r>
              <w:rPr>
                <w:rFonts w:hint="eastAsia" w:ascii="仿宋_GB2312" w:hAnsi="仿宋_GB2312" w:eastAsia="仿宋_GB2312" w:cs="仿宋_GB2312"/>
                <w:b w:val="0"/>
                <w:bCs w:val="0"/>
                <w:color w:val="auto"/>
                <w:sz w:val="24"/>
              </w:rPr>
              <w:t>玉林市中医医院</w:t>
            </w:r>
            <w:bookmarkEnd w:id="1"/>
          </w:p>
        </w:tc>
        <w:tc>
          <w:tcPr>
            <w:tcW w:w="1697" w:type="pct"/>
            <w:tcBorders>
              <w:top w:val="single" w:color="auto" w:sz="4" w:space="0"/>
              <w:left w:val="single" w:color="auto" w:sz="4" w:space="0"/>
              <w:bottom w:val="single" w:color="auto" w:sz="4" w:space="0"/>
              <w:right w:val="single" w:color="auto" w:sz="4" w:space="0"/>
            </w:tcBorders>
            <w:noWrap w:val="0"/>
            <w:vAlign w:val="center"/>
          </w:tcPr>
          <w:p w14:paraId="6EFD589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统筹主持标准编制工作</w:t>
            </w:r>
          </w:p>
        </w:tc>
      </w:tr>
      <w:tr w14:paraId="5BA79006">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B2BF86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刘宇河</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E5917C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auto" w:sz="4" w:space="0"/>
              <w:right w:val="single" w:color="auto" w:sz="4" w:space="0"/>
            </w:tcBorders>
            <w:noWrap w:val="0"/>
            <w:vAlign w:val="center"/>
          </w:tcPr>
          <w:p w14:paraId="576B931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 w:name="OLE_LINK3"/>
            <w:r>
              <w:rPr>
                <w:rFonts w:hint="eastAsia" w:ascii="仿宋_GB2312" w:hAnsi="仿宋_GB2312" w:eastAsia="仿宋_GB2312" w:cs="仿宋_GB2312"/>
                <w:b w:val="0"/>
                <w:bCs w:val="0"/>
                <w:color w:val="auto"/>
                <w:sz w:val="24"/>
              </w:rPr>
              <w:t>主任医师</w:t>
            </w:r>
            <w:bookmarkEnd w:id="2"/>
          </w:p>
        </w:tc>
        <w:tc>
          <w:tcPr>
            <w:tcW w:w="1310" w:type="pct"/>
            <w:tcBorders>
              <w:top w:val="single" w:color="000000" w:sz="2" w:space="0"/>
              <w:left w:val="single" w:color="auto" w:sz="4" w:space="0"/>
              <w:bottom w:val="single" w:color="auto" w:sz="4" w:space="0"/>
              <w:right w:val="single" w:color="auto" w:sz="4" w:space="0"/>
            </w:tcBorders>
            <w:noWrap w:val="0"/>
            <w:vAlign w:val="center"/>
          </w:tcPr>
          <w:p w14:paraId="0A0D9CB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B730A3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参与标准编制工作，组织人员进行标准发布后的宣贯培训。</w:t>
            </w:r>
          </w:p>
        </w:tc>
      </w:tr>
      <w:tr w14:paraId="1B114C97">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4A1E615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廖信祥</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3DB08FF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auto" w:sz="4" w:space="0"/>
              <w:right w:val="single" w:color="auto" w:sz="4" w:space="0"/>
            </w:tcBorders>
            <w:noWrap w:val="0"/>
            <w:vAlign w:val="center"/>
          </w:tcPr>
          <w:p w14:paraId="01C1FBC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 w:name="OLE_LINK4"/>
            <w:r>
              <w:rPr>
                <w:rFonts w:hint="eastAsia" w:ascii="仿宋_GB2312" w:hAnsi="仿宋_GB2312" w:eastAsia="仿宋_GB2312" w:cs="仿宋_GB2312"/>
                <w:b w:val="0"/>
                <w:bCs w:val="0"/>
                <w:color w:val="auto"/>
                <w:sz w:val="24"/>
              </w:rPr>
              <w:t>主任医师</w:t>
            </w:r>
            <w:bookmarkEnd w:id="3"/>
          </w:p>
        </w:tc>
        <w:tc>
          <w:tcPr>
            <w:tcW w:w="1310" w:type="pct"/>
            <w:tcBorders>
              <w:top w:val="single" w:color="000000" w:sz="2" w:space="0"/>
              <w:left w:val="single" w:color="auto" w:sz="4" w:space="0"/>
              <w:bottom w:val="single" w:color="auto" w:sz="4" w:space="0"/>
              <w:right w:val="single" w:color="auto" w:sz="4" w:space="0"/>
            </w:tcBorders>
            <w:noWrap w:val="0"/>
            <w:vAlign w:val="center"/>
          </w:tcPr>
          <w:p w14:paraId="2F87906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4" w:name="OLE_LINK5"/>
            <w:r>
              <w:rPr>
                <w:rFonts w:hint="eastAsia" w:ascii="仿宋_GB2312" w:hAnsi="仿宋_GB2312" w:eastAsia="仿宋_GB2312" w:cs="仿宋_GB2312"/>
                <w:b w:val="0"/>
                <w:bCs w:val="0"/>
                <w:color w:val="auto"/>
                <w:sz w:val="24"/>
              </w:rPr>
              <w:t>玉林市中医医院</w:t>
            </w:r>
            <w:bookmarkEnd w:id="4"/>
          </w:p>
        </w:tc>
        <w:tc>
          <w:tcPr>
            <w:tcW w:w="1697" w:type="pct"/>
            <w:tcBorders>
              <w:top w:val="single" w:color="auto" w:sz="4" w:space="0"/>
              <w:left w:val="single" w:color="auto" w:sz="4" w:space="0"/>
              <w:bottom w:val="single" w:color="auto" w:sz="4" w:space="0"/>
              <w:right w:val="single" w:color="auto" w:sz="4" w:space="0"/>
            </w:tcBorders>
            <w:noWrap w:val="0"/>
            <w:vAlign w:val="center"/>
          </w:tcPr>
          <w:p w14:paraId="4B791BE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参与标准文本及编制说明编写，质量控制。</w:t>
            </w:r>
          </w:p>
        </w:tc>
      </w:tr>
      <w:tr w14:paraId="08943E9D">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51C88A1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林利城</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6C73F6C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中医脑病科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3C07E40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5" w:name="OLE_LINK6"/>
            <w:r>
              <w:rPr>
                <w:rFonts w:hint="eastAsia" w:ascii="仿宋_GB2312" w:hAnsi="仿宋_GB2312" w:eastAsia="仿宋_GB2312" w:cs="仿宋_GB2312"/>
                <w:b w:val="0"/>
                <w:bCs w:val="0"/>
                <w:color w:val="auto"/>
                <w:sz w:val="24"/>
              </w:rPr>
              <w:t>副主任医师</w:t>
            </w:r>
            <w:bookmarkEnd w:id="5"/>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0E7C53D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钦州市中医医院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737DEE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0822CF8B">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191278D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安平</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29E41C9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55CAF5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121040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南宁市妇幼保健院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21DCA6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6" w:name="OLE_LINK42"/>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6"/>
          </w:p>
        </w:tc>
      </w:tr>
      <w:tr w14:paraId="6D8030B4">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1E38BB9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李洁莲</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037707D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7F7C62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0578293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7D83ED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062F1735">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BF212C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王芬</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4CBC5E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中西医结合临床医学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4BE84FB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9C0143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6DF4B0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6B9CA8DE">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0358D7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覃靖</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6866B95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中西医结合临床医学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4AF15E3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0A5F48E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1C30F2F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0F8110E1">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F9246B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庞玉智</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2B50094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5190B99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153BAB6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7402A7C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5B294D11">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FAE86E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黄伟毅</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A83BFE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6939726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7" w:name="OLE_LINK7"/>
            <w:bookmarkStart w:id="8" w:name="OLE_LINK13"/>
            <w:r>
              <w:rPr>
                <w:rFonts w:hint="eastAsia" w:ascii="仿宋_GB2312" w:hAnsi="仿宋_GB2312" w:eastAsia="仿宋_GB2312" w:cs="仿宋_GB2312"/>
                <w:b w:val="0"/>
                <w:bCs w:val="0"/>
                <w:color w:val="auto"/>
                <w:sz w:val="24"/>
              </w:rPr>
              <w:t>主任医师</w:t>
            </w:r>
            <w:bookmarkEnd w:id="7"/>
            <w:bookmarkEnd w:id="8"/>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4DA8F13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田东县中医医院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71A21C1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438FB301">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536C33C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滕居赞</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09FBFAA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343085F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E252A1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扶绥县中医医院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79645C0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7EC9A3FC">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221FF0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郭勇飞</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96E853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450E133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9" w:name="OLE_LINK9"/>
            <w:r>
              <w:rPr>
                <w:rFonts w:hint="eastAsia" w:ascii="仿宋_GB2312" w:hAnsi="仿宋_GB2312" w:eastAsia="仿宋_GB2312" w:cs="仿宋_GB2312"/>
                <w:b w:val="0"/>
                <w:bCs w:val="0"/>
                <w:color w:val="auto"/>
                <w:sz w:val="24"/>
              </w:rPr>
              <w:t>主任医师</w:t>
            </w:r>
            <w:bookmarkEnd w:id="9"/>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6735E4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梧州市中医医院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D9055F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02149E23">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28B7A7A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陈广辉</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D43547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中医康复科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AB243F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39EF293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广西中医药大学第一附属医院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352C4C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0" w:name="OLE_LINK8"/>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10"/>
          </w:p>
        </w:tc>
      </w:tr>
      <w:tr w14:paraId="100CD696">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25D0FB6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王伟</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19E1AC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中医康复科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06E677A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5FDFCD2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广西中医药大学第一附属医院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2A47B9C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1" w:name="OLE_LINK10"/>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11"/>
          </w:p>
        </w:tc>
      </w:tr>
      <w:tr w14:paraId="76F06E37">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2B58D54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陈甲秀</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167475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381F55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9599E9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993398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520C8647">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44D41D1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梁家王</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3B8B44B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5664703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487B49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168ED4B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399D181F">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1CB787D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钟正任</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0E9498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3936A32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2473965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A424AE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33732EC6">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2857B62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蒋泰媛</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958E04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04C019B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2" w:name="OLE_LINK12"/>
            <w:r>
              <w:rPr>
                <w:rFonts w:hint="eastAsia" w:ascii="仿宋_GB2312" w:hAnsi="仿宋_GB2312" w:eastAsia="仿宋_GB2312" w:cs="仿宋_GB2312"/>
                <w:b w:val="0"/>
                <w:bCs w:val="0"/>
                <w:color w:val="auto"/>
                <w:sz w:val="24"/>
              </w:rPr>
              <w:t>主任医师</w:t>
            </w:r>
            <w:bookmarkEnd w:id="12"/>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20C3D04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黔东南州中医医院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E0D354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3" w:name="OLE_LINK11"/>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13"/>
          </w:p>
        </w:tc>
      </w:tr>
      <w:tr w14:paraId="071AA0D1">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67C5209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黄吉辉</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BE1A76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3D8A8E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4" w:name="OLE_LINK14"/>
            <w:r>
              <w:rPr>
                <w:rFonts w:hint="eastAsia" w:ascii="仿宋_GB2312" w:hAnsi="仿宋_GB2312" w:eastAsia="仿宋_GB2312" w:cs="仿宋_GB2312"/>
                <w:b w:val="0"/>
                <w:bCs w:val="0"/>
                <w:color w:val="auto"/>
                <w:sz w:val="24"/>
              </w:rPr>
              <w:t>主任医师</w:t>
            </w:r>
            <w:bookmarkEnd w:id="14"/>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7E6923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柳州市柳江区中医医院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9BC0AB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5" w:name="OLE_LINK15"/>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15"/>
          </w:p>
        </w:tc>
      </w:tr>
      <w:tr w14:paraId="018BD40B">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F31873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黄格朗</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6FBB43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中医康复科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69C80BD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6" w:name="OLE_LINK16"/>
            <w:r>
              <w:rPr>
                <w:rFonts w:hint="eastAsia" w:ascii="仿宋_GB2312" w:hAnsi="仿宋_GB2312" w:eastAsia="仿宋_GB2312" w:cs="仿宋_GB2312"/>
                <w:b w:val="0"/>
                <w:bCs w:val="0"/>
                <w:color w:val="auto"/>
                <w:sz w:val="24"/>
              </w:rPr>
              <w:t>主任医师</w:t>
            </w:r>
            <w:bookmarkEnd w:id="16"/>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11758CE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贵港市人民医院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CD8E70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7" w:name="OLE_LINK20"/>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17"/>
          </w:p>
        </w:tc>
      </w:tr>
      <w:tr w14:paraId="544AE433">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6E8FA46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农玉莺</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6D5C00F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壮医学科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F604E6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3B4F82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那坡县中医医院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6CDF24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61889BAA">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E3212B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雷帮林</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2581C72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A8572C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8" w:name="OLE_LINK19"/>
            <w:r>
              <w:rPr>
                <w:rFonts w:hint="eastAsia" w:ascii="仿宋_GB2312" w:hAnsi="仿宋_GB2312" w:eastAsia="仿宋_GB2312" w:cs="仿宋_GB2312"/>
                <w:b w:val="0"/>
                <w:bCs w:val="0"/>
                <w:color w:val="auto"/>
                <w:sz w:val="24"/>
              </w:rPr>
              <w:t>副主任医师</w:t>
            </w:r>
            <w:bookmarkEnd w:id="18"/>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19C4CE1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湛江市第一中医医院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1A2D7B6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19" w:name="OLE_LINK38"/>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19"/>
          </w:p>
        </w:tc>
      </w:tr>
      <w:tr w14:paraId="6C3DA73E">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58ADBC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覃焕艺</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3DDC25C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中医针灸科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3A62213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0" w:name="OLE_LINK17"/>
            <w:r>
              <w:rPr>
                <w:rFonts w:hint="eastAsia" w:ascii="仿宋_GB2312" w:hAnsi="仿宋_GB2312" w:eastAsia="仿宋_GB2312" w:cs="仿宋_GB2312"/>
                <w:b w:val="0"/>
                <w:bCs w:val="0"/>
                <w:color w:val="auto"/>
                <w:sz w:val="24"/>
              </w:rPr>
              <w:t>主任医师</w:t>
            </w:r>
            <w:bookmarkEnd w:id="20"/>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B04FFB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高州市中医院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BC8C05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084B4509">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1A4108B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李海</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0E40C5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1927AA9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4A856F1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砚山县妇幼保健院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1B5A6F7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22F560CC">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7778D09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杨武芬</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6C9E9A5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4BC175A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42EFE30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砚山县妇幼保健院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94B346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1" w:name="OLE_LINK45"/>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21"/>
          </w:p>
        </w:tc>
      </w:tr>
      <w:tr w14:paraId="4FC7131C">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4511E40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覃婕</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61C12F3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3EAE118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31D7655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那坡县中医医院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2DE5DE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26E124F2">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68B1280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陈建华</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0C1ED6A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中医全科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1605804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2" w:name="OLE_LINK21"/>
            <w:r>
              <w:rPr>
                <w:rFonts w:hint="eastAsia" w:ascii="仿宋_GB2312" w:hAnsi="仿宋_GB2312" w:eastAsia="仿宋_GB2312" w:cs="仿宋_GB2312"/>
                <w:b w:val="0"/>
                <w:bCs w:val="0"/>
                <w:color w:val="auto"/>
                <w:sz w:val="24"/>
              </w:rPr>
              <w:t>副主任医师</w:t>
            </w:r>
            <w:bookmarkEnd w:id="22"/>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2296D7D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3" w:name="OLE_LINK18"/>
            <w:r>
              <w:rPr>
                <w:rFonts w:hint="eastAsia" w:ascii="仿宋_GB2312" w:hAnsi="仿宋_GB2312" w:eastAsia="仿宋_GB2312" w:cs="仿宋_GB2312"/>
                <w:b w:val="0"/>
                <w:bCs w:val="0"/>
                <w:color w:val="auto"/>
                <w:sz w:val="24"/>
              </w:rPr>
              <w:t>会理市妇幼保健院</w:t>
            </w:r>
            <w:bookmarkEnd w:id="23"/>
          </w:p>
        </w:tc>
        <w:tc>
          <w:tcPr>
            <w:tcW w:w="1697" w:type="pct"/>
            <w:tcBorders>
              <w:top w:val="single" w:color="auto" w:sz="4" w:space="0"/>
              <w:left w:val="single" w:color="auto" w:sz="4" w:space="0"/>
              <w:bottom w:val="single" w:color="auto" w:sz="4" w:space="0"/>
              <w:right w:val="single" w:color="auto" w:sz="4" w:space="0"/>
            </w:tcBorders>
            <w:noWrap w:val="0"/>
            <w:vAlign w:val="center"/>
          </w:tcPr>
          <w:p w14:paraId="4681FFE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62A437AE">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7A1CD3C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曾春</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9512AB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5257CDD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住院医师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26C568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会理市妇幼保健院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C3171B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73F7D824">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7A1FDE5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龚斌</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FB8303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4" w:name="OLE_LINK43"/>
            <w:r>
              <w:rPr>
                <w:rFonts w:hint="eastAsia" w:ascii="仿宋_GB2312" w:hAnsi="仿宋_GB2312" w:eastAsia="仿宋_GB2312" w:cs="仿宋_GB2312"/>
                <w:b w:val="0"/>
                <w:bCs w:val="0"/>
                <w:color w:val="auto"/>
                <w:sz w:val="24"/>
              </w:rPr>
              <w:t>中西医</w:t>
            </w:r>
            <w:bookmarkEnd w:id="24"/>
            <w:r>
              <w:rPr>
                <w:rFonts w:hint="eastAsia" w:ascii="仿宋_GB2312" w:hAnsi="仿宋_GB2312" w:eastAsia="仿宋_GB2312" w:cs="仿宋_GB2312"/>
                <w:b w:val="0"/>
                <w:bCs w:val="0"/>
                <w:color w:val="auto"/>
                <w:sz w:val="24"/>
              </w:rPr>
              <w:t>内科急症</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3FE8BDE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A68F8A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广西中医药大学第二附属医院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A078A5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258316DD">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4AABED1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刘利华</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497F6E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针灸推拿学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41BE70F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5" w:name="OLE_LINK23"/>
            <w:r>
              <w:rPr>
                <w:rFonts w:hint="eastAsia" w:ascii="仿宋_GB2312" w:hAnsi="仿宋_GB2312" w:eastAsia="仿宋_GB2312" w:cs="仿宋_GB2312"/>
                <w:b w:val="0"/>
                <w:bCs w:val="0"/>
                <w:color w:val="auto"/>
                <w:sz w:val="24"/>
              </w:rPr>
              <w:t>副主任医师</w:t>
            </w:r>
            <w:bookmarkEnd w:id="25"/>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825CED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6" w:name="OLE_LINK22"/>
            <w:r>
              <w:rPr>
                <w:rFonts w:hint="eastAsia" w:ascii="仿宋_GB2312" w:hAnsi="仿宋_GB2312" w:eastAsia="仿宋_GB2312" w:cs="仿宋_GB2312"/>
                <w:b w:val="0"/>
                <w:bCs w:val="0"/>
                <w:color w:val="auto"/>
                <w:sz w:val="24"/>
              </w:rPr>
              <w:t>德昌县中医医院</w:t>
            </w:r>
            <w:bookmarkEnd w:id="26"/>
          </w:p>
        </w:tc>
        <w:tc>
          <w:tcPr>
            <w:tcW w:w="1697" w:type="pct"/>
            <w:tcBorders>
              <w:top w:val="single" w:color="auto" w:sz="4" w:space="0"/>
              <w:left w:val="single" w:color="auto" w:sz="4" w:space="0"/>
              <w:bottom w:val="single" w:color="auto" w:sz="4" w:space="0"/>
              <w:right w:val="single" w:color="auto" w:sz="4" w:space="0"/>
            </w:tcBorders>
            <w:noWrap w:val="0"/>
            <w:vAlign w:val="center"/>
          </w:tcPr>
          <w:p w14:paraId="05A4360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04ACB4C0">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0F903B7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廖勇利</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839E46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中西医结合外科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6D1BB3E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04293F4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德昌县中医医院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1E5C7A8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5C50A4C3">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2DF63CC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莫勇山</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3E6630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91D3B5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246DC8A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广西壮族自治区第一荣军优抚医院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B37D00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494A40C6">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790CB00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朱超平</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E7652A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094CF74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319EB19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平南县同安骨科医院有限公司</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11FA7F1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417471D5">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0BAC379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吴威强</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0695121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51E1086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7" w:name="OLE_LINK46"/>
            <w:r>
              <w:rPr>
                <w:rFonts w:hint="eastAsia" w:ascii="仿宋_GB2312" w:hAnsi="仿宋_GB2312" w:eastAsia="仿宋_GB2312" w:cs="仿宋_GB2312"/>
                <w:b w:val="0"/>
                <w:bCs w:val="0"/>
                <w:color w:val="auto"/>
                <w:sz w:val="24"/>
              </w:rPr>
              <w:t>副主任医师</w:t>
            </w:r>
            <w:bookmarkEnd w:id="27"/>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20D95A7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平南县同安骨科医院有限公司</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2DEFEA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7C898AD2">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7D5A8F2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谢胜芳</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BFCDB2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中西医结合临床医学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BA0704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CE73BB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8" w:name="OLE_LINK24"/>
            <w:r>
              <w:rPr>
                <w:rFonts w:hint="eastAsia" w:ascii="仿宋_GB2312" w:hAnsi="仿宋_GB2312" w:eastAsia="仿宋_GB2312" w:cs="仿宋_GB2312"/>
                <w:b w:val="0"/>
                <w:bCs w:val="0"/>
                <w:color w:val="auto"/>
                <w:sz w:val="24"/>
              </w:rPr>
              <w:t>平南县同安骨科医院有限公司</w:t>
            </w:r>
            <w:bookmarkEnd w:id="28"/>
          </w:p>
        </w:tc>
        <w:tc>
          <w:tcPr>
            <w:tcW w:w="1697" w:type="pct"/>
            <w:tcBorders>
              <w:top w:val="single" w:color="auto" w:sz="4" w:space="0"/>
              <w:left w:val="single" w:color="auto" w:sz="4" w:space="0"/>
              <w:bottom w:val="single" w:color="auto" w:sz="4" w:space="0"/>
              <w:right w:val="single" w:color="auto" w:sz="4" w:space="0"/>
            </w:tcBorders>
            <w:noWrap w:val="0"/>
            <w:vAlign w:val="center"/>
          </w:tcPr>
          <w:p w14:paraId="42B0DFB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29" w:name="OLE_LINK25"/>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29"/>
          </w:p>
        </w:tc>
      </w:tr>
      <w:tr w14:paraId="07570CBE">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430066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林连朝</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F6441E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67EC1F8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027CD97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大化瑶族自治县妇幼保健院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CA480A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07CB1455">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79F827B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钟火林</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A2E2C1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0" w:name="OLE_LINK26"/>
            <w:r>
              <w:rPr>
                <w:rFonts w:hint="eastAsia" w:ascii="仿宋_GB2312" w:hAnsi="仿宋_GB2312" w:eastAsia="仿宋_GB2312" w:cs="仿宋_GB2312"/>
                <w:b w:val="0"/>
                <w:bCs w:val="0"/>
                <w:color w:val="auto"/>
                <w:sz w:val="24"/>
              </w:rPr>
              <w:t>中医骨伤科</w:t>
            </w:r>
            <w:bookmarkEnd w:id="30"/>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67D5ECF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1ADD9CA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梧州市中医医院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99A17C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1" w:name="OLE_LINK27"/>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31"/>
          </w:p>
        </w:tc>
      </w:tr>
      <w:tr w14:paraId="1E85852B">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2048098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李广森</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ABCE13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中医康复科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A576E8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19C1BDE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北流市人民医院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51AF2A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6C0F4544">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1ACAEEE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主伟将</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76685A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0D6EB7A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4756486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百色市中医医院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19EA497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2" w:name="OLE_LINK28"/>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32"/>
          </w:p>
        </w:tc>
      </w:tr>
      <w:tr w14:paraId="695FD93A">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9EA9CB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黄中兴</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064996E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中医康复科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4235300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30478B8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鹿寨县中医医院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2637AE2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3267F137">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758BE99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唐生云</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36B51C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6EABF30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978147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南宁市妇幼保健院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16F9AAF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2D4059DA">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040A32C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林观梅</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5FA62E0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壮医科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5F37B58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住院医师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7DF2EB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南宁市妇幼保健院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85D8D6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326E8177">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7E88F0C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盛昌敏</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228D52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中西医结合临床医学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34612F5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3" w:name="OLE_LINK29"/>
            <w:r>
              <w:rPr>
                <w:rFonts w:hint="eastAsia" w:ascii="仿宋_GB2312" w:hAnsi="仿宋_GB2312" w:eastAsia="仿宋_GB2312" w:cs="仿宋_GB2312"/>
                <w:b w:val="0"/>
                <w:bCs w:val="0"/>
                <w:color w:val="auto"/>
                <w:sz w:val="24"/>
              </w:rPr>
              <w:t>副主任医师</w:t>
            </w:r>
            <w:bookmarkEnd w:id="33"/>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0F430F4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南宁市妇幼保健院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CA909D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4" w:name="OLE_LINK30"/>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34"/>
          </w:p>
        </w:tc>
      </w:tr>
      <w:tr w14:paraId="5DBBEE71">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64DB4B8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何艳娜</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6937717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031A322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4D8ED5C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大化瑶族自治县妇幼保健院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7900FF6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552E3DB1">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FC5F38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李淑庆</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230CA4E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中西医结合临床医学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38F5B34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w:t>
            </w:r>
            <w:bookmarkStart w:id="35" w:name="OLE_LINK31"/>
            <w:r>
              <w:rPr>
                <w:rFonts w:hint="eastAsia" w:ascii="仿宋_GB2312" w:hAnsi="仿宋_GB2312" w:eastAsia="仿宋_GB2312" w:cs="仿宋_GB2312"/>
                <w:b w:val="0"/>
                <w:bCs w:val="0"/>
                <w:color w:val="auto"/>
                <w:sz w:val="24"/>
              </w:rPr>
              <w:t>主任医师</w:t>
            </w:r>
            <w:bookmarkEnd w:id="35"/>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0528221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大化瑶族自治县妇幼保健院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157884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6" w:name="OLE_LINK32"/>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36"/>
          </w:p>
        </w:tc>
      </w:tr>
      <w:tr w14:paraId="4FBB99C1">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2068B1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黄作醒</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6C1542F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0368A7C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7" w:name="OLE_LINK33"/>
            <w:r>
              <w:rPr>
                <w:rFonts w:hint="eastAsia" w:ascii="仿宋_GB2312" w:hAnsi="仿宋_GB2312" w:eastAsia="仿宋_GB2312" w:cs="仿宋_GB2312"/>
                <w:b w:val="0"/>
                <w:bCs w:val="0"/>
                <w:color w:val="auto"/>
                <w:sz w:val="24"/>
              </w:rPr>
              <w:t>副主任医师</w:t>
            </w:r>
            <w:bookmarkEnd w:id="37"/>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2DDBB5B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田东县中医医院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B043F6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8" w:name="OLE_LINK34"/>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38"/>
          </w:p>
        </w:tc>
      </w:tr>
      <w:tr w14:paraId="3BF7F733">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59AB43B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朱永锦</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3C04C68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39" w:name="OLE_LINK35"/>
            <w:r>
              <w:rPr>
                <w:rFonts w:hint="eastAsia" w:ascii="仿宋_GB2312" w:hAnsi="仿宋_GB2312" w:eastAsia="仿宋_GB2312" w:cs="仿宋_GB2312"/>
                <w:b w:val="0"/>
                <w:bCs w:val="0"/>
                <w:color w:val="auto"/>
                <w:sz w:val="24"/>
              </w:rPr>
              <w:t>中医康复科</w:t>
            </w:r>
            <w:bookmarkEnd w:id="39"/>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012CE0E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10E0041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玉林市第三人民医院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7673193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40" w:name="OLE_LINK36"/>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40"/>
          </w:p>
        </w:tc>
      </w:tr>
      <w:tr w14:paraId="6CCFE8FB">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7216BB7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黄庆</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28AE9E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中医康复科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2480DF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CD297E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天等县中医医院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02F7A0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41" w:name="OLE_LINK37"/>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41"/>
          </w:p>
        </w:tc>
      </w:tr>
      <w:tr w14:paraId="5582BCE3">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450E86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王钿</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CF5C11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4865D8A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15C3ABA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那坡县中医医院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B9D268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42" w:name="OLE_LINK39"/>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42"/>
          </w:p>
        </w:tc>
      </w:tr>
      <w:tr w14:paraId="477E598C">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2079AF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韦英成</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BC8EA9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502C2C9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7BF6B4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贵港市中医医院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100C14B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036029D3">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7F08AE5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廖庆辉</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E4E9DD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中医骨伤科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4994B20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4C3A207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玉林市中西医结合骨科医院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130454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43" w:name="OLE_LINK40"/>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43"/>
          </w:p>
        </w:tc>
      </w:tr>
      <w:tr w14:paraId="7937671F">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4ADC455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刘一兵</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B803F9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中医康复科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1685A7E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4EB8C09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北流市人民医院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D3C006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bookmarkStart w:id="44" w:name="OLE_LINK41"/>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bookmarkEnd w:id="44"/>
          </w:p>
        </w:tc>
      </w:tr>
      <w:tr w14:paraId="742E685E">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1A4135B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何云</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15EE82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1A3678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0015C4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1C4C72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16064B50">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594E938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周一庆</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3B3118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护理学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683143F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主任护师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255057F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7517D8F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464AC9CD">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7D2D8A2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李利群</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09A8A4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护理学</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11B5FA1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副主任护师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76CC44B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716E60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2FA1F48A">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20BC836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肖敏</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54CA48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5C38718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4C83A7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0DF5C8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68C51E7E">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E06657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李智华</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68DC063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计算科学与应用</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689CBCC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高级工程师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458F7E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7538D14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18FE6794">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7A7E127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周诗澜</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2CB228A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2C48B47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01B79D2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6405A07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44CC2E96">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2189F58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刘文惠</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8BB4B9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EBA2F8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6A73802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62A3A1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41CC54BF">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142BFE9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黄愉凡</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E4651C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21C90E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住院医师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19DBB96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D1E0FB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75C3BDF1">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423E70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蒋婷婷</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E0707A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中医内科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012B273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住院医师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4CDAE18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3CD145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6FA5C7B8">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25EA31D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黄琪琛</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26CAF81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12C418E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3C54699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2374A95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3822E9D4">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430DC09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丘洋</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5F580D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5F68E91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1BE9E18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4E5D92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7037AAB3">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44A90F9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卢科权</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2A28C4D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5D32CFD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住院医师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39B6B2A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E8E1B7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26612E45">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3817C11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林章利</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E4D5F0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0C42B52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住院医师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5BC1A45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0994C5E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602DC7E2">
        <w:tblPrEx>
          <w:tblCellMar>
            <w:top w:w="0" w:type="dxa"/>
            <w:left w:w="108" w:type="dxa"/>
            <w:bottom w:w="0" w:type="dxa"/>
            <w:right w:w="108" w:type="dxa"/>
          </w:tblCellMar>
        </w:tblPrEx>
        <w:trPr>
          <w:cantSplit/>
          <w:trHeight w:val="306"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7DC9E04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刘明豪</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427204F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0B75613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住院医师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417DEA8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3B35491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7AF4055C">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18DCB48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庞金海</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74BD491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726D7D3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主治医师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0DACC7A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4591F22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r w14:paraId="6328B3F7">
        <w:tblPrEx>
          <w:tblCellMar>
            <w:top w:w="0" w:type="dxa"/>
            <w:left w:w="108" w:type="dxa"/>
            <w:bottom w:w="0" w:type="dxa"/>
            <w:right w:w="108" w:type="dxa"/>
          </w:tblCellMar>
        </w:tblPrEx>
        <w:trPr>
          <w:cantSplit/>
          <w:trHeight w:val="517" w:hRule="atLeast"/>
        </w:trPr>
        <w:tc>
          <w:tcPr>
            <w:tcW w:w="512" w:type="pct"/>
            <w:tcBorders>
              <w:top w:val="single" w:color="auto" w:sz="4" w:space="0"/>
              <w:left w:val="single" w:color="auto" w:sz="4" w:space="0"/>
              <w:bottom w:val="single" w:color="auto" w:sz="4" w:space="0"/>
              <w:right w:val="single" w:color="008000" w:sz="4" w:space="0"/>
            </w:tcBorders>
            <w:noWrap w:val="0"/>
            <w:vAlign w:val="center"/>
          </w:tcPr>
          <w:p w14:paraId="56D223C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钟潇羽</w:t>
            </w:r>
          </w:p>
        </w:tc>
        <w:tc>
          <w:tcPr>
            <w:tcW w:w="784" w:type="pct"/>
            <w:tcBorders>
              <w:top w:val="single" w:color="auto" w:sz="4" w:space="0"/>
              <w:left w:val="single" w:color="auto" w:sz="4" w:space="0"/>
              <w:bottom w:val="single" w:color="auto" w:sz="4" w:space="0"/>
              <w:right w:val="single" w:color="auto" w:sz="4" w:space="0"/>
            </w:tcBorders>
            <w:noWrap w:val="0"/>
            <w:vAlign w:val="center"/>
          </w:tcPr>
          <w:p w14:paraId="128A961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中医推拿科</w:t>
            </w:r>
          </w:p>
        </w:tc>
        <w:tc>
          <w:tcPr>
            <w:tcW w:w="697" w:type="pct"/>
            <w:tcBorders>
              <w:top w:val="single" w:color="000000" w:sz="2" w:space="0"/>
              <w:left w:val="single" w:color="auto" w:sz="4" w:space="0"/>
              <w:bottom w:val="single" w:color="000000" w:sz="2" w:space="0"/>
              <w:right w:val="single" w:color="auto" w:sz="4" w:space="0"/>
            </w:tcBorders>
            <w:noWrap w:val="0"/>
            <w:vAlign w:val="center"/>
          </w:tcPr>
          <w:p w14:paraId="37B77C0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副主任医师</w:t>
            </w:r>
          </w:p>
        </w:tc>
        <w:tc>
          <w:tcPr>
            <w:tcW w:w="1310" w:type="pct"/>
            <w:tcBorders>
              <w:top w:val="single" w:color="000000" w:sz="2" w:space="0"/>
              <w:left w:val="single" w:color="auto" w:sz="4" w:space="0"/>
              <w:bottom w:val="single" w:color="000000" w:sz="2" w:space="0"/>
              <w:right w:val="single" w:color="auto" w:sz="4" w:space="0"/>
            </w:tcBorders>
            <w:noWrap w:val="0"/>
            <w:vAlign w:val="center"/>
          </w:tcPr>
          <w:p w14:paraId="0E22807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玉林市中医医院</w:t>
            </w:r>
          </w:p>
        </w:tc>
        <w:tc>
          <w:tcPr>
            <w:tcW w:w="1697" w:type="pct"/>
            <w:tcBorders>
              <w:top w:val="single" w:color="auto" w:sz="4" w:space="0"/>
              <w:left w:val="single" w:color="auto" w:sz="4" w:space="0"/>
              <w:bottom w:val="single" w:color="auto" w:sz="4" w:space="0"/>
              <w:right w:val="single" w:color="auto" w:sz="4" w:space="0"/>
            </w:tcBorders>
            <w:noWrap w:val="0"/>
            <w:vAlign w:val="center"/>
          </w:tcPr>
          <w:p w14:paraId="5E5FB06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_GB2312" w:hAnsi="仿宋_GB2312" w:eastAsia="仿宋_GB2312" w:cs="仿宋_GB2312"/>
                <w:b w:val="0"/>
                <w:bCs w:val="0"/>
                <w:color w:val="auto"/>
                <w:sz w:val="24"/>
              </w:rPr>
            </w:pPr>
            <w:r>
              <w:rPr>
                <w:rFonts w:hint="eastAsia" w:ascii="仿宋_GB2312" w:hAnsi="仿宋_GB2312" w:eastAsia="仿宋_GB2312" w:cs="仿宋_GB2312"/>
                <w:b w:val="0"/>
                <w:bCs w:val="0"/>
                <w:color w:val="auto"/>
                <w:sz w:val="24"/>
              </w:rPr>
              <w:t>参与标准文本及编制说明的编写；组织开展标准征求意见会；对标准实施情况进行总结分析，不断对标准提出修正意见。</w:t>
            </w:r>
          </w:p>
        </w:tc>
      </w:tr>
    </w:tbl>
    <w:p w14:paraId="6BE1CEB3">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二、制定标准的必要性和意义</w:t>
      </w:r>
    </w:p>
    <w:p w14:paraId="50C39573">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国家中医药管理局关于印发《中医药标准化行动计划(2024一2026年)》的通知(国中医药法监函(2024)116号)要求，围绕重大疑难杂病、慢性病、传染性疾病以及中医优势病种，制修订一批中医、中西医结合预防、治疗、康复指南。研究建立中医医疗技术命名标准体系，发布一批中医医疗技术操作规范。完善少数民族医药标准体系，加快推进少数民族医药病证分类与代码、名词术语等标准的制定。</w:t>
      </w:r>
    </w:p>
    <w:p w14:paraId="35EAD802">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痹病是中医对于一类以肢体关节、筋骨、肌肉发生疼痛、酸楚、重着、麻木，或关节屈伸不利、僵硬、肿大、变形及活动障碍为主症疾病的统称。其病因复杂，多与感受外邪、饮食不节、劳逸不当、体质亏虚等因素有关，正虚卫外不固是发病的内在基础，感受外邪则是外在条件。西医学中的类风湿关节炎、骨关节炎、强直性脊柱炎、痛风、风湿性关节炎等多种疾病，均属于痹病范畴。这类疾病不仅患病群体庞大，且病程缠绵、致残率高，严重影响患者的生活质量与劳动能力。根据流行病学调查数据，我国骨关节炎患者已超过1.13亿，且随着人口老龄化加剧，40岁以上人群原发性骨关节炎患病率高达46.3%。类风湿关节炎在我国的患病率为0.3%</w:t>
      </w:r>
      <w:r>
        <w:rPr>
          <w:rFonts w:hint="eastAsia" w:ascii="仿宋_GB2312" w:hAnsi="宋体"/>
          <w:color w:val="auto"/>
          <w:sz w:val="32"/>
          <w:szCs w:val="28"/>
          <w:lang w:val="en-US" w:eastAsia="zh-CN"/>
        </w:rPr>
        <w:t>～</w:t>
      </w:r>
      <w:r>
        <w:rPr>
          <w:rFonts w:hint="eastAsia" w:ascii="仿宋_GB2312" w:hAnsi="宋体" w:eastAsia="仿宋_GB2312"/>
          <w:color w:val="auto"/>
          <w:sz w:val="32"/>
          <w:szCs w:val="28"/>
        </w:rPr>
        <w:t>0.4%，患者总数超过500万。此外，随着饮食结构变化，高尿酸血症和痛风患者数量激增，目前我国高尿酸血症患者已达1.77亿，其中痛风患者超过1466万，且呈现明显的年轻化趋势。仅上述几类主要痹病，国内累计患者规模就超过2.5亿人。痹病日久不愈，还可发生病邪由经络累及脏腑的演变，形成肺痹、心痹等严重并发症，威胁患者生命健康。经方医学以《伤寒杂病论》为核心，其六经辨证体系是构建中医临床思维的重要基石。与后世杂合的辨证方法不同，六经辨证强调“先辨六经，继辨方证”，将千变万化的临床表现归纳为太阳、阳明、少阳、太阴、少阴、厥阴六大类证候，执简驭繁，纲举目张。在痹病治疗中，经方大家胡希恕先生明确提出“痹证多在少阴，但痹证六经均有”的学术观点，突破了以往仅从风寒湿痹、热痹等病因论治的局限，强调根据患者的整体症状反应进行六经方证辨证。这一体系的优势在于:一是强调整体观念，将关节局部症状与全身状况统一考量;二是注重动态把握，随着病情演变调整六经归属:三是追求方证对应，当方剂与证候高度契合时，往往疗效显著。将六经辨证系统应用于痹病诊疗，能够充分发挥经方“一剂知，二剂己”的临床优势。</w:t>
      </w:r>
    </w:p>
    <w:p w14:paraId="7700DAB4">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经方六经辨证治疗痹病的理论价值和临床价值已得到广泛认可，但其标准化建设明显滞后于临床需求，许多宝贵经验尚未转化为可供临床普遍遵循的技术操作规范。在临床实践中，初学者面对复杂的痹病症状，往往难以准确进行六经判定和方证选择;在不同医疗机构间，诊疗方案难以比较和验证;在学术传承层面，老一辈经方名家的经验面临被稀释、失传的风险。</w:t>
      </w:r>
    </w:p>
    <w:p w14:paraId="7A493052">
      <w:pPr>
        <w:keepNext w:val="0"/>
        <w:keepLines w:val="0"/>
        <w:pageBreakBefore w:val="0"/>
        <w:kinsoku/>
        <w:overflowPunct/>
        <w:topLinePunct w:val="0"/>
        <w:autoSpaceDE w:val="0"/>
        <w:autoSpaceDN w:val="0"/>
        <w:bidi w:val="0"/>
        <w:adjustRightInd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因此，通过制定《经方医学六经辨证体系治疗痹病技术规范》，以标准为抓手，统一规范经方医学六经辨证体系治疗痹病技术要求，提高经方医学六经辨证体系治疗痹病技术水平，为临床提供一套“有章可循”的操作指南，有助于推动经方医学的规范化发展。</w:t>
      </w:r>
    </w:p>
    <w:p w14:paraId="64CFA7EF">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三、主要起草过程</w:t>
      </w:r>
    </w:p>
    <w:p w14:paraId="0D6A5644">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olor w:val="auto"/>
          <w:sz w:val="32"/>
          <w:szCs w:val="28"/>
        </w:rPr>
      </w:pPr>
      <w:r>
        <w:rPr>
          <w:rFonts w:hint="eastAsia" w:ascii="楷体" w:hAnsi="楷体" w:eastAsia="楷体" w:cs="仿宋_GB2312"/>
          <w:b/>
          <w:color w:val="auto"/>
          <w:sz w:val="32"/>
          <w:szCs w:val="28"/>
        </w:rPr>
        <w:t>（一）成立标准编制工作组</w:t>
      </w:r>
    </w:p>
    <w:p w14:paraId="437C2B6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团体标准《经方医学六经辨证体系治疗痹病技术规范》项目任务下达后</w:t>
      </w:r>
      <w:r>
        <w:rPr>
          <w:rFonts w:hint="eastAsia" w:ascii="仿宋_GB2312" w:hAnsi="宋体" w:eastAsia="仿宋_GB2312"/>
          <w:color w:val="auto"/>
          <w:sz w:val="32"/>
          <w:szCs w:val="28"/>
          <w:highlight w:val="none"/>
        </w:rPr>
        <w:t>，</w:t>
      </w:r>
      <w:r>
        <w:rPr>
          <w:rFonts w:hint="eastAsia" w:ascii="仿宋_GB2312" w:hAnsi="宋体"/>
          <w:color w:val="auto"/>
          <w:sz w:val="32"/>
          <w:szCs w:val="28"/>
          <w:highlight w:val="none"/>
          <w:lang w:val="en-US" w:eastAsia="zh-CN"/>
        </w:rPr>
        <w:t>玉林市中医医院</w:t>
      </w:r>
      <w:r>
        <w:rPr>
          <w:rFonts w:hint="eastAsia" w:ascii="仿宋_GB2312" w:hAnsi="宋体" w:eastAsia="仿宋_GB2312"/>
          <w:color w:val="auto"/>
          <w:sz w:val="32"/>
          <w:szCs w:val="28"/>
          <w:highlight w:val="none"/>
        </w:rPr>
        <w:t>成立了标准编制工作组，</w:t>
      </w:r>
      <w:r>
        <w:rPr>
          <w:rFonts w:hint="eastAsia" w:ascii="仿宋_GB2312" w:hAnsi="宋体"/>
          <w:color w:val="auto"/>
          <w:sz w:val="32"/>
          <w:szCs w:val="28"/>
          <w:highlight w:val="none"/>
          <w:lang w:val="en-US" w:eastAsia="zh-CN"/>
        </w:rPr>
        <w:t>并</w:t>
      </w:r>
      <w:r>
        <w:rPr>
          <w:rFonts w:hint="eastAsia" w:ascii="仿宋_GB2312" w:hAnsi="宋体" w:eastAsia="仿宋_GB2312"/>
          <w:color w:val="auto"/>
          <w:sz w:val="32"/>
          <w:szCs w:val="28"/>
          <w:highlight w:val="none"/>
        </w:rPr>
        <w:t>制定了起草编写方案与进度安排，明确任务职责，确定工作技术路线，开展标准研制工作。具体标准编制工作由</w:t>
      </w:r>
      <w:r>
        <w:rPr>
          <w:rFonts w:hint="eastAsia" w:ascii="仿宋_GB2312" w:hAnsi="宋体"/>
          <w:color w:val="auto"/>
          <w:sz w:val="32"/>
          <w:szCs w:val="28"/>
          <w:highlight w:val="none"/>
          <w:lang w:val="en-US" w:eastAsia="zh-CN"/>
        </w:rPr>
        <w:t>玉林市中医医院、广西中医药大学第一附属医院、钦州市中医医院、南宁市妇幼保健院</w:t>
      </w:r>
      <w:r>
        <w:rPr>
          <w:rFonts w:hint="eastAsia" w:ascii="仿宋_GB2312" w:hAnsi="宋体" w:eastAsia="仿宋_GB2312"/>
          <w:color w:val="auto"/>
          <w:sz w:val="32"/>
          <w:szCs w:val="28"/>
          <w:highlight w:val="none"/>
        </w:rPr>
        <w:t>等单位负责人组成的标</w:t>
      </w:r>
      <w:r>
        <w:rPr>
          <w:rFonts w:hint="eastAsia" w:ascii="仿宋_GB2312" w:hAnsi="宋体" w:eastAsia="仿宋_GB2312"/>
          <w:color w:val="auto"/>
          <w:sz w:val="32"/>
          <w:szCs w:val="28"/>
        </w:rPr>
        <w:t>准编制工作组完成。</w:t>
      </w:r>
    </w:p>
    <w:p w14:paraId="0D99A07B">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编制工作组下设三个组，分别是资料收集组、草案编写组、标准实施组。</w:t>
      </w:r>
    </w:p>
    <w:p w14:paraId="59AE398B">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资料收集组负责国内外有关经方医学六经辨证体系治疗痹病的文献资料的查询、收集和整理工作，查阅前人对经方医学六经辨证体系治疗痹病的研究情况。</w:t>
      </w:r>
    </w:p>
    <w:p w14:paraId="0BE25F71">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草案编写组负责起草标准草案、征求意见稿和标准编制说明、送审稿及编制说明的编写工作，包括后期召开征求意见会、网上征求意见，以及标准的不断修改和完善。</w:t>
      </w:r>
    </w:p>
    <w:p w14:paraId="067432A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实施组负责团体标准《经方医学六经辨证体系治疗痹病技术规范》发布后，组织相关企事业单位开展标准宣贯培训会，对标准进行详细解读，让相关人员了解标准，并根据标准对经方医学六经辨证体系治疗痹病进行规范化操作，并对标准实施情况进行总结分析，不断对团体标准提出修正意见。</w:t>
      </w:r>
    </w:p>
    <w:p w14:paraId="32C78715">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s="仿宋_GB2312"/>
          <w:b/>
          <w:color w:val="auto"/>
          <w:sz w:val="32"/>
          <w:szCs w:val="28"/>
        </w:rPr>
      </w:pPr>
      <w:r>
        <w:rPr>
          <w:rFonts w:hint="eastAsia" w:ascii="楷体" w:hAnsi="楷体" w:eastAsia="楷体" w:cs="仿宋_GB2312"/>
          <w:b/>
          <w:color w:val="auto"/>
          <w:sz w:val="32"/>
          <w:szCs w:val="28"/>
        </w:rPr>
        <w:t>（二）收集整理文献资料</w:t>
      </w:r>
    </w:p>
    <w:p w14:paraId="2B9611BD">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lang w:val="fr-FR"/>
        </w:rPr>
      </w:pPr>
      <w:r>
        <w:rPr>
          <w:rFonts w:hint="eastAsia" w:ascii="仿宋_GB2312" w:hAnsi="宋体" w:eastAsia="仿宋_GB2312"/>
          <w:color w:val="auto"/>
          <w:sz w:val="32"/>
          <w:szCs w:val="28"/>
        </w:rPr>
        <w:t>标准编制工作组收集了国内有关经方医学六经辨证体系治疗痹病相关文献资料。主要有</w:t>
      </w:r>
      <w:r>
        <w:rPr>
          <w:rFonts w:hint="eastAsia" w:ascii="仿宋_GB2312" w:hAnsi="宋体" w:eastAsia="仿宋_GB2312"/>
          <w:color w:val="auto"/>
          <w:sz w:val="32"/>
          <w:szCs w:val="28"/>
          <w:lang w:val="fr-FR"/>
        </w:rPr>
        <w:t>：</w:t>
      </w:r>
    </w:p>
    <w:p w14:paraId="3F0747A3">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DB45/T 1303-2016</w:t>
      </w:r>
      <w:r>
        <w:rPr>
          <w:rFonts w:hint="eastAsia" w:ascii="仿宋_GB2312" w:hAnsi="宋体"/>
          <w:color w:val="auto"/>
          <w:sz w:val="32"/>
          <w:szCs w:val="28"/>
          <w:lang w:val="en-US" w:eastAsia="zh-CN"/>
        </w:rPr>
        <w:t xml:space="preserve">  </w:t>
      </w:r>
      <w:r>
        <w:rPr>
          <w:rFonts w:hint="eastAsia" w:ascii="仿宋_GB2312" w:hAnsi="宋体" w:eastAsia="仿宋_GB2312"/>
          <w:color w:val="auto"/>
          <w:sz w:val="32"/>
          <w:szCs w:val="28"/>
        </w:rPr>
        <w:t>壮医风湿痹病诊疗规范</w:t>
      </w:r>
    </w:p>
    <w:p w14:paraId="7F07A89F">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T/CI031-2023</w:t>
      </w:r>
      <w:r>
        <w:rPr>
          <w:rFonts w:hint="eastAsia" w:ascii="仿宋_GB2312" w:hAnsi="宋体"/>
          <w:color w:val="auto"/>
          <w:sz w:val="32"/>
          <w:szCs w:val="28"/>
          <w:lang w:val="en-US" w:eastAsia="zh-CN"/>
        </w:rPr>
        <w:t xml:space="preserve">  </w:t>
      </w:r>
      <w:r>
        <w:rPr>
          <w:rFonts w:hint="eastAsia" w:ascii="仿宋_GB2312" w:hAnsi="宋体" w:eastAsia="仿宋_GB2312"/>
          <w:color w:val="auto"/>
          <w:sz w:val="32"/>
          <w:szCs w:val="28"/>
        </w:rPr>
        <w:t>髋痹病诊疗规范</w:t>
      </w:r>
    </w:p>
    <w:p w14:paraId="373342B9">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T/CACM 1229-2019</w:t>
      </w:r>
      <w:r>
        <w:rPr>
          <w:rFonts w:hint="eastAsia" w:ascii="仿宋_GB2312" w:hAnsi="宋体"/>
          <w:color w:val="auto"/>
          <w:sz w:val="32"/>
          <w:szCs w:val="28"/>
          <w:lang w:val="en-US" w:eastAsia="zh-CN"/>
        </w:rPr>
        <w:t xml:space="preserve">  </w:t>
      </w:r>
      <w:r>
        <w:rPr>
          <w:rFonts w:hint="eastAsia" w:ascii="仿宋_GB2312" w:hAnsi="宋体" w:eastAsia="仿宋_GB2312"/>
          <w:color w:val="auto"/>
          <w:sz w:val="32"/>
          <w:szCs w:val="28"/>
        </w:rPr>
        <w:t>中医骨伤科临床诊疗指南</w:t>
      </w:r>
      <w:r>
        <w:rPr>
          <w:rFonts w:hint="eastAsia" w:ascii="仿宋_GB2312" w:hAnsi="宋体"/>
          <w:color w:val="auto"/>
          <w:sz w:val="32"/>
          <w:szCs w:val="28"/>
          <w:lang w:val="en-US" w:eastAsia="zh-CN"/>
        </w:rPr>
        <w:t xml:space="preserve">  </w:t>
      </w:r>
      <w:r>
        <w:rPr>
          <w:rFonts w:hint="eastAsia" w:ascii="仿宋_GB2312" w:hAnsi="宋体" w:eastAsia="仿宋_GB2312"/>
          <w:color w:val="auto"/>
          <w:sz w:val="32"/>
          <w:szCs w:val="28"/>
        </w:rPr>
        <w:t>膝痹病(膝骨关节炎)</w:t>
      </w:r>
    </w:p>
    <w:p w14:paraId="39CD6001">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基于六经辨证理论探讨密集型银质针治疗腰椎管狭窄症的辨治思路</w:t>
      </w:r>
    </w:p>
    <w:p w14:paraId="22BB59AF">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试论《伤寒论》“六经-方证-主证”辨证体系</w:t>
      </w:r>
    </w:p>
    <w:p w14:paraId="44937C7D">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s="仿宋_GB2312"/>
          <w:b/>
          <w:color w:val="auto"/>
          <w:sz w:val="32"/>
          <w:szCs w:val="28"/>
        </w:rPr>
      </w:pPr>
      <w:r>
        <w:rPr>
          <w:rFonts w:hint="eastAsia" w:ascii="楷体" w:hAnsi="楷体" w:eastAsia="楷体" w:cs="仿宋_GB2312"/>
          <w:b/>
          <w:color w:val="auto"/>
          <w:sz w:val="32"/>
          <w:szCs w:val="28"/>
        </w:rPr>
        <w:t>（三）研讨确定标准</w:t>
      </w:r>
      <w:r>
        <w:rPr>
          <w:rFonts w:hint="eastAsia" w:ascii="楷体" w:hAnsi="楷体" w:eastAsia="楷体" w:cs="仿宋_GB2312"/>
          <w:b/>
          <w:color w:val="auto"/>
          <w:sz w:val="32"/>
          <w:szCs w:val="28"/>
          <w:lang w:val="en-US" w:eastAsia="zh-CN"/>
        </w:rPr>
        <w:t>特色、创新点、</w:t>
      </w:r>
      <w:r>
        <w:rPr>
          <w:rFonts w:hint="eastAsia" w:ascii="楷体" w:hAnsi="楷体" w:eastAsia="楷体" w:cs="仿宋_GB2312"/>
          <w:b/>
          <w:color w:val="auto"/>
          <w:sz w:val="32"/>
          <w:szCs w:val="28"/>
        </w:rPr>
        <w:t>主体内容</w:t>
      </w:r>
    </w:p>
    <w:p w14:paraId="2963878A">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28"/>
          <w:lang w:val="en-US" w:eastAsia="zh-CN"/>
        </w:rPr>
      </w:pPr>
      <w:r>
        <w:rPr>
          <w:rFonts w:hint="eastAsia" w:ascii="仿宋_GB2312" w:hAnsi="宋体"/>
          <w:color w:val="auto"/>
          <w:sz w:val="32"/>
          <w:szCs w:val="28"/>
          <w:lang w:val="en-US" w:eastAsia="zh-CN"/>
        </w:rPr>
        <w:t>1、创新点</w:t>
      </w:r>
    </w:p>
    <w:p w14:paraId="57495AF9">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28"/>
          <w:lang w:val="en-US" w:eastAsia="zh-CN"/>
        </w:rPr>
      </w:pPr>
      <w:r>
        <w:rPr>
          <w:rFonts w:hint="eastAsia" w:ascii="仿宋_GB2312" w:hAnsi="宋体"/>
          <w:color w:val="auto"/>
          <w:sz w:val="32"/>
          <w:szCs w:val="28"/>
          <w:lang w:val="en-US" w:eastAsia="zh-CN"/>
        </w:rPr>
        <w:t>（1）首次将经方医学六经辨证体系治疗痹病的诊疗思路与方法进行系统化、规范化梳理，明确了基于六经辨证的痹病诊断要点、证型分类及相应的经方干预方案，填补了该领域缺乏统一技术规范的空白。</w:t>
      </w:r>
    </w:p>
    <w:p w14:paraId="1A9C50C7">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28"/>
          <w:lang w:val="en-US" w:eastAsia="zh-CN"/>
        </w:rPr>
      </w:pPr>
      <w:r>
        <w:rPr>
          <w:rFonts w:hint="eastAsia" w:ascii="仿宋_GB2312" w:hAnsi="宋体"/>
          <w:color w:val="auto"/>
          <w:sz w:val="32"/>
          <w:szCs w:val="28"/>
          <w:lang w:val="en-US" w:eastAsia="zh-CN"/>
        </w:rPr>
        <w:t>（2）通过提炼经方医学中“辨证论治”的核心思想，结合现代临床实践经验，构建了从病位判断、病性分析到选方用药的完整诊疗路径，使经方在痹病治疗中的应用更具指导性和可操作性，为临床医师提供了一套科学、严谨的标准化诊疗工具。</w:t>
      </w:r>
    </w:p>
    <w:p w14:paraId="2A81DD5F">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28"/>
          <w:lang w:val="en-US" w:eastAsia="zh-CN"/>
        </w:rPr>
      </w:pPr>
      <w:r>
        <w:rPr>
          <w:rFonts w:hint="eastAsia" w:ascii="仿宋_GB2312" w:hAnsi="宋体"/>
          <w:color w:val="auto"/>
          <w:sz w:val="32"/>
          <w:szCs w:val="28"/>
          <w:lang w:val="en-US" w:eastAsia="zh-CN"/>
        </w:rPr>
        <w:t>2、主体内容</w:t>
      </w:r>
    </w:p>
    <w:p w14:paraId="691B939C">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标准编制工作组在对收集的资料进行整理研究之后，标准编制工作组召开了标准编制会议，对标准的整体框架结构进行了研究，并对标准的关键性内容进行了初步探讨。经过研究，标准的主体内容确定为</w:t>
      </w:r>
      <w:r>
        <w:rPr>
          <w:rFonts w:hint="eastAsia" w:ascii="仿宋_GB2312" w:hAnsi="宋体"/>
          <w:color w:val="auto"/>
          <w:sz w:val="32"/>
          <w:szCs w:val="28"/>
          <w:highlight w:val="none"/>
          <w:lang w:val="en-US" w:eastAsia="zh-CN"/>
        </w:rPr>
        <w:t>六经辩证、治疗原则、方证治疗、禁忌证、注意事项、健康宣教</w:t>
      </w:r>
      <w:r>
        <w:rPr>
          <w:rFonts w:hint="eastAsia" w:ascii="仿宋_GB2312" w:hAnsi="宋体" w:eastAsia="仿宋_GB2312"/>
          <w:color w:val="auto"/>
          <w:sz w:val="32"/>
          <w:szCs w:val="28"/>
        </w:rPr>
        <w:t>。</w:t>
      </w:r>
    </w:p>
    <w:p w14:paraId="61FABD75">
      <w:pPr>
        <w:keepNext w:val="0"/>
        <w:keepLines w:val="0"/>
        <w:pageBreakBefore w:val="0"/>
        <w:kinsoku/>
        <w:overflowPunct/>
        <w:topLinePunct w:val="0"/>
        <w:bidi w:val="0"/>
        <w:snapToGrid/>
        <w:spacing w:line="560" w:lineRule="exact"/>
        <w:ind w:left="0" w:firstLine="643" w:firstLineChars="200"/>
        <w:textAlignment w:val="auto"/>
        <w:rPr>
          <w:rFonts w:ascii="楷体" w:hAnsi="楷体" w:eastAsia="楷体" w:cs="仿宋_GB2312"/>
          <w:b/>
          <w:color w:val="auto"/>
          <w:sz w:val="32"/>
          <w:szCs w:val="28"/>
        </w:rPr>
      </w:pPr>
      <w:r>
        <w:rPr>
          <w:rFonts w:hint="eastAsia" w:ascii="楷体" w:hAnsi="楷体" w:eastAsia="楷体" w:cs="仿宋_GB2312"/>
          <w:b/>
          <w:color w:val="auto"/>
          <w:sz w:val="32"/>
          <w:szCs w:val="28"/>
        </w:rPr>
        <w:t>（四）调研及形成草案、征求意见稿</w:t>
      </w:r>
    </w:p>
    <w:p w14:paraId="6B43200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20</w:t>
      </w:r>
      <w:r>
        <w:rPr>
          <w:rFonts w:hint="eastAsia" w:ascii="仿宋_GB2312" w:hAnsi="宋体"/>
          <w:color w:val="auto"/>
          <w:sz w:val="32"/>
          <w:szCs w:val="28"/>
          <w:lang w:val="en-US" w:eastAsia="zh-CN"/>
        </w:rPr>
        <w:t>26</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3</w:t>
      </w:r>
      <w:r>
        <w:rPr>
          <w:rFonts w:hint="eastAsia" w:ascii="仿宋_GB2312" w:hAnsi="宋体" w:eastAsia="仿宋_GB2312"/>
          <w:color w:val="auto"/>
          <w:sz w:val="32"/>
          <w:szCs w:val="28"/>
        </w:rPr>
        <w:t>月，标准起草工作小组进行了广泛调研工作，查阅了大量的国内外文献资料，对经方医学六经辨证体系治疗痹病的前人研究成果进行系统总结。形成了标准的基本构架，对主要内容进行了讨论并对项目的工作进行了部署和安排。</w:t>
      </w:r>
    </w:p>
    <w:p w14:paraId="09305CF3">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20</w:t>
      </w:r>
      <w:r>
        <w:rPr>
          <w:rFonts w:hint="eastAsia" w:ascii="仿宋_GB2312" w:hAnsi="宋体"/>
          <w:color w:val="auto"/>
          <w:sz w:val="32"/>
          <w:szCs w:val="28"/>
          <w:lang w:val="en-US" w:eastAsia="zh-CN"/>
        </w:rPr>
        <w:t>26</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4-5</w:t>
      </w:r>
      <w:r>
        <w:rPr>
          <w:rFonts w:hint="eastAsia" w:ascii="仿宋_GB2312" w:hAnsi="宋体" w:eastAsia="仿宋_GB2312"/>
          <w:color w:val="auto"/>
          <w:sz w:val="32"/>
          <w:szCs w:val="28"/>
        </w:rPr>
        <w:t>月，在前期工作的基础之上，通过理清逻辑脉络，整合已有的参考资料中有关经方医学六经辨证体系治疗痹病要求，并结合经方医学六经辨证体系治疗痹病实际要求的基础上，按照简化、统一等原则编制完成团体标准《经方医学六经辨证体系治疗痹病技术规范》（草案）。</w:t>
      </w:r>
    </w:p>
    <w:p w14:paraId="1F6A96F1">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20</w:t>
      </w:r>
      <w:r>
        <w:rPr>
          <w:rFonts w:hint="eastAsia" w:ascii="仿宋_GB2312" w:hAnsi="宋体"/>
          <w:color w:val="auto"/>
          <w:sz w:val="32"/>
          <w:szCs w:val="28"/>
          <w:lang w:val="en-US" w:eastAsia="zh-CN"/>
        </w:rPr>
        <w:t>26</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6</w:t>
      </w:r>
      <w:r>
        <w:rPr>
          <w:rFonts w:hint="eastAsia" w:ascii="仿宋_GB2312" w:hAnsi="宋体" w:eastAsia="仿宋_GB2312"/>
          <w:color w:val="auto"/>
          <w:sz w:val="32"/>
          <w:szCs w:val="28"/>
        </w:rPr>
        <w:t>月，标准起草工作组到</w:t>
      </w:r>
      <w:r>
        <w:rPr>
          <w:rFonts w:ascii="仿宋_GB2312" w:hAnsi="宋体" w:eastAsia="仿宋_GB2312"/>
          <w:color w:val="auto"/>
          <w:sz w:val="32"/>
          <w:szCs w:val="28"/>
        </w:rPr>
        <w:t>相关单位和</w:t>
      </w:r>
      <w:r>
        <w:rPr>
          <w:rFonts w:hint="eastAsia" w:ascii="仿宋_GB2312" w:hAnsi="宋体"/>
          <w:color w:val="auto"/>
          <w:sz w:val="32"/>
          <w:szCs w:val="28"/>
          <w:lang w:val="en-US" w:eastAsia="zh-CN"/>
        </w:rPr>
        <w:t>医疗</w:t>
      </w:r>
      <w:r>
        <w:rPr>
          <w:rFonts w:ascii="仿宋_GB2312" w:hAnsi="宋体" w:eastAsia="仿宋_GB2312"/>
          <w:color w:val="auto"/>
          <w:sz w:val="32"/>
          <w:szCs w:val="28"/>
        </w:rPr>
        <w:t>机构进行调研，</w:t>
      </w:r>
      <w:r>
        <w:rPr>
          <w:rFonts w:hint="eastAsia" w:ascii="仿宋_GB2312" w:hAnsi="宋体" w:eastAsia="仿宋_GB2312"/>
          <w:color w:val="auto"/>
          <w:sz w:val="32"/>
          <w:szCs w:val="28"/>
        </w:rPr>
        <w:t>并实际征求意见，通过收集反馈了大量意见，标准编制工作组多次召开会议，对标准草案进行了反复修改和研究讨论。进一步讨论完善标准草案，形成团体标准《经方医学六经辨证体系治疗痹病技术规范》（征求意见稿）和（征求意见稿）编制说明。</w:t>
      </w:r>
    </w:p>
    <w:p w14:paraId="3B832357">
      <w:pPr>
        <w:keepNext w:val="0"/>
        <w:keepLines w:val="0"/>
        <w:pageBreakBefore w:val="0"/>
        <w:kinsoku/>
        <w:overflowPunct/>
        <w:topLinePunct w:val="0"/>
        <w:autoSpaceDE w:val="0"/>
        <w:autoSpaceDN w:val="0"/>
        <w:bidi w:val="0"/>
        <w:adjustRightInd w:val="0"/>
        <w:snapToGrid/>
        <w:ind w:left="0"/>
        <w:jc w:val="left"/>
        <w:textAlignment w:val="auto"/>
        <w:rPr>
          <w:rFonts w:eastAsia="黑体"/>
          <w:bCs/>
          <w:color w:val="auto"/>
          <w:sz w:val="32"/>
          <w:szCs w:val="32"/>
        </w:rPr>
      </w:pPr>
      <w:bookmarkStart w:id="45" w:name="_Toc526940083"/>
      <w:r>
        <w:rPr>
          <w:rFonts w:eastAsia="黑体"/>
          <w:bCs/>
          <w:color w:val="auto"/>
          <w:sz w:val="32"/>
          <w:szCs w:val="32"/>
        </w:rPr>
        <w:t>四、</w:t>
      </w:r>
      <w:bookmarkEnd w:id="45"/>
      <w:r>
        <w:rPr>
          <w:rFonts w:eastAsia="黑体"/>
          <w:bCs/>
          <w:color w:val="auto"/>
          <w:sz w:val="32"/>
          <w:szCs w:val="32"/>
        </w:rPr>
        <w:t>制定标准的原则和依据，与现行法律、法规的关系，与有关国家标准、行业标准的协调情况</w:t>
      </w:r>
    </w:p>
    <w:p w14:paraId="30EFA250">
      <w:pPr>
        <w:pStyle w:val="10"/>
        <w:keepNext w:val="0"/>
        <w:keepLines w:val="0"/>
        <w:pageBreakBefore w:val="0"/>
        <w:kinsoku/>
        <w:overflowPunct/>
        <w:topLinePunct w:val="0"/>
        <w:bidi w:val="0"/>
        <w:snapToGrid/>
        <w:spacing w:line="560" w:lineRule="exact"/>
        <w:ind w:left="0" w:firstLine="0" w:firstLineChars="0"/>
        <w:textAlignment w:val="auto"/>
        <w:outlineLvl w:val="1"/>
        <w:rPr>
          <w:rFonts w:ascii="Times New Roman" w:eastAsia="仿宋"/>
          <w:b/>
          <w:bCs/>
          <w:color w:val="auto"/>
          <w:sz w:val="32"/>
          <w:szCs w:val="32"/>
        </w:rPr>
      </w:pPr>
      <w:r>
        <w:rPr>
          <w:rFonts w:ascii="Times New Roman" w:eastAsia="仿宋"/>
          <w:b/>
          <w:bCs/>
          <w:color w:val="auto"/>
          <w:sz w:val="32"/>
          <w:szCs w:val="32"/>
        </w:rPr>
        <w:t>（一）编制原则</w:t>
      </w:r>
    </w:p>
    <w:p w14:paraId="7432AB81">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rPr>
      </w:pPr>
      <w:r>
        <w:rPr>
          <w:rFonts w:eastAsia="仿宋"/>
          <w:b/>
          <w:bCs/>
          <w:color w:val="auto"/>
          <w:kern w:val="0"/>
          <w:sz w:val="32"/>
          <w:szCs w:val="32"/>
        </w:rPr>
        <w:t>1、实用性原则</w:t>
      </w:r>
    </w:p>
    <w:p w14:paraId="096AD80F">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本文件是在充分收集相关资料和文献，分析经方医学六经辨证体系治疗痹病当前现状，在现有相关经方医学六经辨证体系治疗痹病要求的基础上，结合编制单位</w:t>
      </w:r>
      <w:r>
        <w:rPr>
          <w:rFonts w:ascii="仿宋_GB2312" w:hAnsi="宋体" w:eastAsia="仿宋_GB2312"/>
          <w:color w:val="auto"/>
          <w:sz w:val="32"/>
          <w:szCs w:val="28"/>
        </w:rPr>
        <w:t>多年</w:t>
      </w:r>
      <w:r>
        <w:rPr>
          <w:rFonts w:hint="eastAsia" w:ascii="仿宋_GB2312" w:hAnsi="宋体" w:eastAsia="仿宋_GB2312"/>
          <w:color w:val="auto"/>
          <w:sz w:val="32"/>
          <w:szCs w:val="28"/>
        </w:rPr>
        <w:t>相关经验而总结起草的，符合当前经方医学六经辨证体系治疗痹病发展的方向，具有较强的实用性和可操作性。</w:t>
      </w:r>
    </w:p>
    <w:p w14:paraId="62EF7D35">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rPr>
      </w:pPr>
      <w:r>
        <w:rPr>
          <w:rFonts w:hint="eastAsia" w:eastAsia="仿宋"/>
          <w:b/>
          <w:bCs/>
          <w:color w:val="auto"/>
          <w:kern w:val="0"/>
          <w:sz w:val="32"/>
          <w:szCs w:val="32"/>
        </w:rPr>
        <w:t>2、协调性原则</w:t>
      </w:r>
    </w:p>
    <w:p w14:paraId="18A33837">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本文件编写过程中注意了与经方医学六经辨证体系治疗痹病相关法律法规的协调问题，在内容上与现行法律法规、标准协调一致。</w:t>
      </w:r>
    </w:p>
    <w:p w14:paraId="48B06747">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rPr>
      </w:pPr>
      <w:r>
        <w:rPr>
          <w:rFonts w:hint="eastAsia" w:eastAsia="仿宋"/>
          <w:b/>
          <w:bCs/>
          <w:color w:val="auto"/>
          <w:kern w:val="0"/>
          <w:sz w:val="32"/>
          <w:szCs w:val="32"/>
        </w:rPr>
        <w:t>3、规范性原则</w:t>
      </w:r>
    </w:p>
    <w:p w14:paraId="3276EBB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本文件严格参照GB/T 1.1—2020《标准化工作导则  第1部分：标准化文件的结构和起草规则》编写本标准的内容，保证标准的编写质量。</w:t>
      </w:r>
    </w:p>
    <w:p w14:paraId="173D3B39">
      <w:pPr>
        <w:keepNext w:val="0"/>
        <w:keepLines w:val="0"/>
        <w:pageBreakBefore w:val="0"/>
        <w:tabs>
          <w:tab w:val="center" w:pos="4201"/>
          <w:tab w:val="right" w:leader="dot" w:pos="9298"/>
        </w:tabs>
        <w:kinsoku/>
        <w:overflowPunct/>
        <w:topLinePunct w:val="0"/>
        <w:autoSpaceDE w:val="0"/>
        <w:autoSpaceDN w:val="0"/>
        <w:bidi w:val="0"/>
        <w:snapToGrid/>
        <w:ind w:left="0" w:firstLine="643"/>
        <w:textAlignment w:val="auto"/>
        <w:outlineLvl w:val="2"/>
        <w:rPr>
          <w:rFonts w:eastAsia="仿宋"/>
          <w:b/>
          <w:bCs/>
          <w:color w:val="auto"/>
          <w:kern w:val="0"/>
          <w:sz w:val="32"/>
          <w:szCs w:val="32"/>
        </w:rPr>
      </w:pPr>
      <w:r>
        <w:rPr>
          <w:rFonts w:hint="eastAsia" w:eastAsia="仿宋"/>
          <w:b/>
          <w:bCs/>
          <w:color w:val="auto"/>
          <w:kern w:val="0"/>
          <w:sz w:val="32"/>
          <w:szCs w:val="32"/>
        </w:rPr>
        <w:t>4、前瞻性原则</w:t>
      </w:r>
    </w:p>
    <w:p w14:paraId="2315C397">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文件在兼顾当前区内经方医学六经辨证体系治疗痹病现实情况的同时，还考虑到了经方医学六经辨证体系治疗痹病快速发展的趋势和需要，在标准中体现了个别特色性、前瞻性和先进性条款，作为对经方医学六经辨证体系治疗痹病发展的指导。</w:t>
      </w:r>
    </w:p>
    <w:p w14:paraId="323DB155">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ind w:left="0"/>
        <w:textAlignment w:val="auto"/>
        <w:outlineLvl w:val="1"/>
        <w:rPr>
          <w:rFonts w:eastAsia="仿宋"/>
          <w:b/>
          <w:bCs/>
          <w:color w:val="auto"/>
          <w:kern w:val="0"/>
          <w:sz w:val="32"/>
          <w:szCs w:val="32"/>
        </w:rPr>
      </w:pPr>
      <w:r>
        <w:rPr>
          <w:rFonts w:eastAsia="仿宋"/>
          <w:b/>
          <w:bCs/>
          <w:color w:val="auto"/>
          <w:kern w:val="0"/>
          <w:sz w:val="32"/>
          <w:szCs w:val="32"/>
        </w:rPr>
        <w:t>（二）编制依据</w:t>
      </w:r>
    </w:p>
    <w:p w14:paraId="03C8CA65">
      <w:pPr>
        <w:keepNext w:val="0"/>
        <w:keepLines w:val="0"/>
        <w:pageBreakBefore w:val="0"/>
        <w:kinsoku/>
        <w:overflowPunct/>
        <w:topLinePunct w:val="0"/>
        <w:bidi w:val="0"/>
        <w:snapToGrid/>
        <w:ind w:left="0" w:firstLine="640" w:firstLineChars="200"/>
        <w:textAlignment w:val="auto"/>
        <w:rPr>
          <w:rFonts w:eastAsia="仿宋"/>
          <w:color w:val="auto"/>
          <w:sz w:val="32"/>
          <w:szCs w:val="32"/>
        </w:rPr>
      </w:pPr>
      <w:r>
        <w:rPr>
          <w:rFonts w:eastAsia="仿宋"/>
          <w:color w:val="auto"/>
          <w:sz w:val="32"/>
          <w:szCs w:val="32"/>
        </w:rPr>
        <w:t>本标准严格按照GB/T 1.1—2020《标准化工作导则  第1部分：标准化文件的结构和起草规则》的规则起草，标准主要内容参考相关标准文件并结合起草单位多年的</w:t>
      </w:r>
      <w:r>
        <w:rPr>
          <w:rFonts w:hint="eastAsia" w:eastAsia="仿宋"/>
          <w:color w:val="auto"/>
          <w:sz w:val="32"/>
          <w:szCs w:val="32"/>
        </w:rPr>
        <w:t>相关</w:t>
      </w:r>
      <w:r>
        <w:rPr>
          <w:rFonts w:eastAsia="仿宋"/>
          <w:color w:val="auto"/>
          <w:sz w:val="32"/>
          <w:szCs w:val="32"/>
        </w:rPr>
        <w:t>经验</w:t>
      </w:r>
      <w:r>
        <w:rPr>
          <w:rFonts w:hint="eastAsia" w:eastAsia="仿宋"/>
          <w:color w:val="auto"/>
          <w:sz w:val="32"/>
          <w:szCs w:val="32"/>
        </w:rPr>
        <w:t>和实践</w:t>
      </w:r>
      <w:r>
        <w:rPr>
          <w:rFonts w:eastAsia="仿宋"/>
          <w:color w:val="auto"/>
          <w:sz w:val="32"/>
          <w:szCs w:val="32"/>
        </w:rPr>
        <w:t>验证情况总结进行起草。</w:t>
      </w:r>
    </w:p>
    <w:p w14:paraId="4909473A">
      <w:pPr>
        <w:keepNext w:val="0"/>
        <w:keepLines w:val="0"/>
        <w:pageBreakBefore w:val="0"/>
        <w:widowControl/>
        <w:tabs>
          <w:tab w:val="center" w:pos="4201"/>
          <w:tab w:val="right" w:leader="dot" w:pos="9298"/>
        </w:tabs>
        <w:kinsoku/>
        <w:overflowPunct/>
        <w:topLinePunct w:val="0"/>
        <w:autoSpaceDE w:val="0"/>
        <w:autoSpaceDN w:val="0"/>
        <w:bidi w:val="0"/>
        <w:snapToGrid/>
        <w:spacing w:line="560" w:lineRule="exact"/>
        <w:ind w:left="0"/>
        <w:textAlignment w:val="auto"/>
        <w:outlineLvl w:val="1"/>
        <w:rPr>
          <w:rFonts w:eastAsia="仿宋"/>
          <w:b/>
          <w:bCs/>
          <w:color w:val="auto"/>
          <w:kern w:val="0"/>
          <w:sz w:val="32"/>
          <w:szCs w:val="32"/>
        </w:rPr>
      </w:pPr>
      <w:r>
        <w:rPr>
          <w:rFonts w:eastAsia="仿宋"/>
          <w:b/>
          <w:bCs/>
          <w:color w:val="auto"/>
          <w:kern w:val="0"/>
          <w:sz w:val="32"/>
          <w:szCs w:val="32"/>
        </w:rPr>
        <w:t>（三）与现行法律、法规的关系，与有关国家标准、行业标准的协调情况</w:t>
      </w:r>
    </w:p>
    <w:p w14:paraId="03FE614D">
      <w:pPr>
        <w:keepNext w:val="0"/>
        <w:keepLines w:val="0"/>
        <w:pageBreakBefore w:val="0"/>
        <w:kinsoku/>
        <w:overflowPunct/>
        <w:topLinePunct w:val="0"/>
        <w:bidi w:val="0"/>
        <w:snapToGrid/>
        <w:ind w:left="0" w:firstLine="640" w:firstLineChars="200"/>
        <w:textAlignment w:val="auto"/>
        <w:rPr>
          <w:rFonts w:eastAsia="仿宋"/>
          <w:color w:val="auto"/>
          <w:sz w:val="32"/>
          <w:szCs w:val="32"/>
        </w:rPr>
      </w:pPr>
      <w:r>
        <w:rPr>
          <w:rFonts w:hint="eastAsia" w:eastAsia="仿宋"/>
          <w:color w:val="auto"/>
          <w:sz w:val="32"/>
          <w:szCs w:val="32"/>
        </w:rPr>
        <w:t>本编制工作组承诺本标准内容与各项指标不违反相关法律法规要求，且不低于国家强制性标准、推荐性国家标准和行业标准要求。</w:t>
      </w:r>
    </w:p>
    <w:p w14:paraId="285FC11B">
      <w:pPr>
        <w:keepNext w:val="0"/>
        <w:keepLines w:val="0"/>
        <w:pageBreakBefore w:val="0"/>
        <w:kinsoku/>
        <w:overflowPunct/>
        <w:topLinePunct w:val="0"/>
        <w:bidi w:val="0"/>
        <w:snapToGrid/>
        <w:spacing w:line="560" w:lineRule="exact"/>
        <w:ind w:left="0" w:firstLine="640" w:firstLineChars="200"/>
        <w:textAlignment w:val="auto"/>
        <w:rPr>
          <w:rFonts w:hint="eastAsia" w:ascii="仿宋_GB2312" w:hAnsi="宋体" w:eastAsia="仿宋_GB2312"/>
          <w:color w:val="auto"/>
          <w:sz w:val="32"/>
          <w:szCs w:val="28"/>
        </w:rPr>
      </w:pPr>
      <w:r>
        <w:rPr>
          <w:rFonts w:hint="eastAsia" w:ascii="仿宋_GB2312" w:hAnsi="宋体" w:eastAsia="仿宋_GB2312"/>
          <w:color w:val="auto"/>
          <w:sz w:val="32"/>
          <w:szCs w:val="28"/>
        </w:rPr>
        <w:t>经查阅，与“痹病”相关的标准主要有:</w:t>
      </w:r>
    </w:p>
    <w:p w14:paraId="268C86DF">
      <w:pPr>
        <w:keepNext w:val="0"/>
        <w:keepLines w:val="0"/>
        <w:pageBreakBefore w:val="0"/>
        <w:kinsoku/>
        <w:overflowPunct/>
        <w:topLinePunct w:val="0"/>
        <w:bidi w:val="0"/>
        <w:snapToGrid/>
        <w:ind w:left="0" w:firstLine="640" w:firstLineChars="200"/>
        <w:textAlignment w:val="auto"/>
        <w:rPr>
          <w:rFonts w:hint="eastAsia" w:eastAsia="仿宋"/>
          <w:color w:val="auto"/>
          <w:sz w:val="32"/>
          <w:szCs w:val="32"/>
        </w:rPr>
      </w:pPr>
      <w:r>
        <w:rPr>
          <w:rFonts w:hint="eastAsia" w:eastAsia="仿宋"/>
          <w:color w:val="auto"/>
          <w:sz w:val="32"/>
          <w:szCs w:val="32"/>
          <w:lang w:eastAsia="zh-CN"/>
        </w:rPr>
        <w:t>《</w:t>
      </w:r>
      <w:r>
        <w:rPr>
          <w:rFonts w:hint="eastAsia" w:eastAsia="仿宋"/>
          <w:color w:val="auto"/>
          <w:sz w:val="32"/>
          <w:szCs w:val="32"/>
        </w:rPr>
        <w:t>T/CI</w:t>
      </w:r>
      <w:r>
        <w:rPr>
          <w:rFonts w:hint="eastAsia" w:eastAsia="仿宋"/>
          <w:color w:val="auto"/>
          <w:sz w:val="32"/>
          <w:szCs w:val="32"/>
          <w:lang w:val="en-US" w:eastAsia="zh-CN"/>
        </w:rPr>
        <w:t xml:space="preserve"> </w:t>
      </w:r>
      <w:r>
        <w:rPr>
          <w:rFonts w:hint="eastAsia" w:eastAsia="仿宋"/>
          <w:color w:val="auto"/>
          <w:sz w:val="32"/>
          <w:szCs w:val="32"/>
        </w:rPr>
        <w:t xml:space="preserve">031-2023 </w:t>
      </w:r>
      <w:r>
        <w:rPr>
          <w:rFonts w:hint="eastAsia" w:eastAsia="仿宋"/>
          <w:color w:val="auto"/>
          <w:sz w:val="32"/>
          <w:szCs w:val="32"/>
          <w:lang w:val="en-US" w:eastAsia="zh-CN"/>
        </w:rPr>
        <w:t xml:space="preserve"> </w:t>
      </w:r>
      <w:r>
        <w:rPr>
          <w:rFonts w:hint="eastAsia" w:eastAsia="仿宋"/>
          <w:color w:val="auto"/>
          <w:sz w:val="32"/>
          <w:szCs w:val="32"/>
        </w:rPr>
        <w:t>髋痹病诊疗规范》《T/CACM</w:t>
      </w:r>
      <w:r>
        <w:rPr>
          <w:rFonts w:hint="eastAsia" w:eastAsia="仿宋"/>
          <w:color w:val="auto"/>
          <w:sz w:val="32"/>
          <w:szCs w:val="32"/>
          <w:lang w:val="en-US" w:eastAsia="zh-CN"/>
        </w:rPr>
        <w:t xml:space="preserve"> </w:t>
      </w:r>
      <w:r>
        <w:rPr>
          <w:rFonts w:hint="eastAsia" w:eastAsia="仿宋"/>
          <w:color w:val="auto"/>
          <w:sz w:val="32"/>
          <w:szCs w:val="32"/>
        </w:rPr>
        <w:t xml:space="preserve">1229-2019 </w:t>
      </w:r>
      <w:r>
        <w:rPr>
          <w:rFonts w:hint="eastAsia" w:eastAsia="仿宋"/>
          <w:color w:val="auto"/>
          <w:sz w:val="32"/>
          <w:szCs w:val="32"/>
          <w:lang w:val="en-US" w:eastAsia="zh-CN"/>
        </w:rPr>
        <w:t xml:space="preserve"> </w:t>
      </w:r>
      <w:r>
        <w:rPr>
          <w:rFonts w:hint="eastAsia" w:eastAsia="仿宋"/>
          <w:color w:val="auto"/>
          <w:sz w:val="32"/>
          <w:szCs w:val="32"/>
        </w:rPr>
        <w:t>中医骨伤科临床诊疗指南</w:t>
      </w:r>
      <w:r>
        <w:rPr>
          <w:rFonts w:hint="eastAsia" w:eastAsia="仿宋"/>
          <w:color w:val="auto"/>
          <w:sz w:val="32"/>
          <w:szCs w:val="32"/>
          <w:lang w:val="en-US" w:eastAsia="zh-CN"/>
        </w:rPr>
        <w:t xml:space="preserve"> </w:t>
      </w:r>
      <w:r>
        <w:rPr>
          <w:rFonts w:hint="eastAsia" w:eastAsia="仿宋"/>
          <w:color w:val="auto"/>
          <w:sz w:val="32"/>
          <w:szCs w:val="32"/>
        </w:rPr>
        <w:t xml:space="preserve"> 膝痹病</w:t>
      </w:r>
      <w:r>
        <w:rPr>
          <w:rFonts w:hint="eastAsia" w:eastAsia="仿宋"/>
          <w:color w:val="auto"/>
          <w:sz w:val="32"/>
          <w:szCs w:val="32"/>
          <w:lang w:eastAsia="zh-CN"/>
        </w:rPr>
        <w:t>（</w:t>
      </w:r>
      <w:r>
        <w:rPr>
          <w:rFonts w:hint="eastAsia" w:eastAsia="仿宋"/>
          <w:color w:val="auto"/>
          <w:sz w:val="32"/>
          <w:szCs w:val="32"/>
        </w:rPr>
        <w:t>膝骨关节炎</w:t>
      </w:r>
      <w:r>
        <w:rPr>
          <w:rFonts w:hint="eastAsia" w:eastAsia="仿宋"/>
          <w:color w:val="auto"/>
          <w:sz w:val="32"/>
          <w:szCs w:val="32"/>
          <w:lang w:eastAsia="zh-CN"/>
        </w:rPr>
        <w:t>）</w:t>
      </w:r>
      <w:r>
        <w:rPr>
          <w:rFonts w:hint="eastAsia" w:eastAsia="仿宋"/>
          <w:color w:val="auto"/>
          <w:sz w:val="32"/>
          <w:szCs w:val="32"/>
        </w:rPr>
        <w:t>》</w:t>
      </w:r>
      <w:r>
        <w:rPr>
          <w:rFonts w:hint="eastAsia" w:eastAsia="仿宋"/>
          <w:color w:val="auto"/>
          <w:sz w:val="32"/>
          <w:szCs w:val="32"/>
          <w:lang w:eastAsia="zh-CN"/>
        </w:rPr>
        <w:t>《</w:t>
      </w:r>
      <w:r>
        <w:rPr>
          <w:rFonts w:hint="eastAsia" w:eastAsia="仿宋"/>
          <w:color w:val="auto"/>
          <w:sz w:val="32"/>
          <w:szCs w:val="32"/>
        </w:rPr>
        <w:t>DB45/T</w:t>
      </w:r>
      <w:r>
        <w:rPr>
          <w:rFonts w:hint="eastAsia" w:eastAsia="仿宋"/>
          <w:color w:val="auto"/>
          <w:sz w:val="32"/>
          <w:szCs w:val="32"/>
          <w:lang w:val="en-US" w:eastAsia="zh-CN"/>
        </w:rPr>
        <w:t xml:space="preserve"> </w:t>
      </w:r>
      <w:r>
        <w:rPr>
          <w:rFonts w:hint="eastAsia" w:eastAsia="仿宋"/>
          <w:color w:val="auto"/>
          <w:sz w:val="32"/>
          <w:szCs w:val="32"/>
        </w:rPr>
        <w:t>1303-2016</w:t>
      </w:r>
      <w:r>
        <w:rPr>
          <w:rFonts w:hint="eastAsia" w:eastAsia="仿宋"/>
          <w:color w:val="auto"/>
          <w:sz w:val="32"/>
          <w:szCs w:val="32"/>
          <w:lang w:val="en-US" w:eastAsia="zh-CN"/>
        </w:rPr>
        <w:t xml:space="preserve">  </w:t>
      </w:r>
      <w:r>
        <w:rPr>
          <w:rFonts w:hint="eastAsia" w:eastAsia="仿宋"/>
          <w:color w:val="auto"/>
          <w:sz w:val="32"/>
          <w:szCs w:val="32"/>
        </w:rPr>
        <w:t>壮医风湿痹病诊疗规范</w:t>
      </w:r>
      <w:r>
        <w:rPr>
          <w:rFonts w:hint="eastAsia" w:eastAsia="仿宋"/>
          <w:color w:val="auto"/>
          <w:sz w:val="32"/>
          <w:szCs w:val="32"/>
          <w:lang w:eastAsia="zh-CN"/>
        </w:rPr>
        <w:t>》</w:t>
      </w:r>
      <w:r>
        <w:rPr>
          <w:rFonts w:hint="eastAsia" w:eastAsia="仿宋"/>
          <w:color w:val="auto"/>
          <w:sz w:val="32"/>
          <w:szCs w:val="32"/>
        </w:rPr>
        <w:t>。</w:t>
      </w:r>
    </w:p>
    <w:p w14:paraId="29FA2AD1">
      <w:pPr>
        <w:keepNext w:val="0"/>
        <w:keepLines w:val="0"/>
        <w:pageBreakBefore w:val="0"/>
        <w:kinsoku/>
        <w:overflowPunct/>
        <w:topLinePunct w:val="0"/>
        <w:bidi w:val="0"/>
        <w:snapToGrid/>
        <w:ind w:left="0" w:firstLine="640" w:firstLineChars="200"/>
        <w:textAlignment w:val="auto"/>
        <w:rPr>
          <w:rFonts w:hint="eastAsia" w:eastAsia="仿宋"/>
          <w:color w:val="auto"/>
          <w:sz w:val="32"/>
          <w:szCs w:val="32"/>
        </w:rPr>
      </w:pPr>
      <w:r>
        <w:rPr>
          <w:rFonts w:hint="eastAsia" w:eastAsia="仿宋"/>
          <w:color w:val="auto"/>
          <w:sz w:val="32"/>
          <w:szCs w:val="32"/>
        </w:rPr>
        <w:t>综述，现有标准尚未有经方医学六经辨证体系治疗痹病相关的内容，属于标准空白，为统一规范经方医学六经辨证体系治疗痹病的要求，提高治疗水平，有必要制定《经方医学六经辨证体系治疗痹病技术规范》。</w:t>
      </w:r>
    </w:p>
    <w:p w14:paraId="2A17FE98">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仿宋_GB2312" w:hAnsi="宋体" w:eastAsia="仿宋_GB2312"/>
          <w:color w:val="auto"/>
          <w:sz w:val="32"/>
          <w:szCs w:val="32"/>
          <w:highlight w:val="none"/>
          <w:lang w:val="zh-CN"/>
        </w:rPr>
      </w:pPr>
      <w:bookmarkStart w:id="46" w:name="_Toc526940084"/>
      <w:r>
        <w:rPr>
          <w:rFonts w:hint="eastAsia" w:ascii="黑体" w:hAnsi="黑体" w:eastAsia="黑体" w:cs="仿宋_GB2312"/>
          <w:color w:val="auto"/>
          <w:sz w:val="32"/>
          <w:szCs w:val="32"/>
        </w:rPr>
        <w:t>五、</w:t>
      </w:r>
      <w:bookmarkEnd w:id="46"/>
      <w:r>
        <w:rPr>
          <w:rFonts w:hint="eastAsia" w:ascii="黑体" w:hAnsi="黑体" w:eastAsia="黑体" w:cs="仿宋_GB2312"/>
          <w:color w:val="auto"/>
          <w:sz w:val="32"/>
          <w:szCs w:val="32"/>
        </w:rPr>
        <w:t>主要条款的说明</w:t>
      </w:r>
    </w:p>
    <w:p w14:paraId="62992045">
      <w:pPr>
        <w:keepNext w:val="0"/>
        <w:keepLines w:val="0"/>
        <w:pageBreakBefore w:val="0"/>
        <w:kinsoku/>
        <w:overflowPunct/>
        <w:topLinePunct w:val="0"/>
        <w:bidi w:val="0"/>
        <w:snapToGrid/>
        <w:ind w:left="0" w:firstLine="640" w:firstLineChars="200"/>
        <w:textAlignment w:val="auto"/>
        <w:rPr>
          <w:rFonts w:ascii="仿宋_GB2312" w:hAnsi="宋体" w:eastAsia="仿宋_GB2312"/>
          <w:color w:val="auto"/>
          <w:sz w:val="32"/>
          <w:szCs w:val="32"/>
          <w:lang w:val="zh-CN"/>
        </w:rPr>
      </w:pPr>
      <w:r>
        <w:rPr>
          <w:rFonts w:hint="eastAsia" w:ascii="仿宋_GB2312" w:hAnsi="宋体" w:eastAsia="仿宋_GB2312"/>
          <w:color w:val="auto"/>
          <w:sz w:val="32"/>
          <w:szCs w:val="32"/>
          <w:lang w:val="zh-CN"/>
        </w:rPr>
        <w:t>玉林市中医医院自2018年开始开展经方医学六经辨证体系治疗痹病工作，每年治疗患者约2000人，积累了丰富的临床实践数据和成功案例。目前在玉林市中医医院、钦州市中医医院、广西中医药大学第一附属医院、南宁市妇幼保健院、广西中医药大学附属瑞康医院等医院得到了广泛应用。</w:t>
      </w:r>
    </w:p>
    <w:p w14:paraId="6C1EDCB7">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lang w:val="zh-CN"/>
        </w:rPr>
      </w:pPr>
      <w:r>
        <w:rPr>
          <w:rFonts w:hint="eastAsia" w:ascii="仿宋_GB2312" w:hAnsi="宋体" w:eastAsia="仿宋_GB2312"/>
          <w:color w:val="auto"/>
          <w:sz w:val="32"/>
          <w:szCs w:val="32"/>
          <w:lang w:val="zh-CN"/>
        </w:rPr>
        <w:t>团体标准《经方医学六经辨证体系治疗痹病技术规范》的主要章节内容包括：</w:t>
      </w:r>
      <w:r>
        <w:rPr>
          <w:rFonts w:hint="eastAsia" w:ascii="仿宋_GB2312" w:hAnsi="宋体"/>
          <w:color w:val="auto"/>
          <w:sz w:val="32"/>
          <w:szCs w:val="32"/>
          <w:lang w:val="en-US" w:eastAsia="zh-CN"/>
        </w:rPr>
        <w:t>六经辩证、治疗原则、方证治疗、禁忌证、注意事项、健康宣教</w:t>
      </w:r>
      <w:r>
        <w:rPr>
          <w:rFonts w:hint="eastAsia" w:ascii="仿宋_GB2312" w:hAnsi="宋体" w:eastAsia="仿宋_GB2312"/>
          <w:color w:val="auto"/>
          <w:sz w:val="32"/>
          <w:szCs w:val="32"/>
          <w:lang w:val="zh-CN"/>
        </w:rPr>
        <w:t>。本文件主要内容及依据来源说明如下：</w:t>
      </w:r>
    </w:p>
    <w:p w14:paraId="40C50225">
      <w:pPr>
        <w:keepNext w:val="0"/>
        <w:keepLines w:val="0"/>
        <w:pageBreakBefore w:val="0"/>
        <w:kinsoku/>
        <w:overflowPunct/>
        <w:topLinePunct w:val="0"/>
        <w:bidi w:val="0"/>
        <w:snapToGrid/>
        <w:ind w:left="0" w:firstLine="643" w:firstLineChars="200"/>
        <w:textAlignment w:val="auto"/>
        <w:rPr>
          <w:rFonts w:ascii="仿宋_GB2312" w:hAnsi="宋体" w:eastAsia="仿宋_GB2312"/>
          <w:b/>
          <w:color w:val="auto"/>
          <w:sz w:val="32"/>
          <w:szCs w:val="32"/>
          <w:lang w:val="zh-CN"/>
        </w:rPr>
      </w:pPr>
      <w:r>
        <w:rPr>
          <w:rFonts w:hint="default" w:ascii="仿宋_GB2312" w:hAnsi="宋体" w:eastAsia="仿宋_GB2312" w:cs="Times New Roman"/>
          <w:b/>
          <w:color w:val="auto"/>
          <w:kern w:val="2"/>
          <w:sz w:val="32"/>
          <w:szCs w:val="32"/>
          <w:lang w:val="zh-CN" w:eastAsia="zh-CN" w:bidi="ar-SA"/>
        </w:rPr>
        <w:t>（一）</w:t>
      </w:r>
      <w:r>
        <w:rPr>
          <w:rFonts w:hint="eastAsia" w:ascii="仿宋_GB2312" w:hAnsi="宋体" w:eastAsia="仿宋_GB2312"/>
          <w:b/>
          <w:color w:val="auto"/>
          <w:sz w:val="32"/>
          <w:szCs w:val="32"/>
          <w:lang w:val="zh-CN"/>
        </w:rPr>
        <w:t>六经辩证</w:t>
      </w:r>
    </w:p>
    <w:p w14:paraId="0CB9BBCE">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lang w:val="zh-CN"/>
        </w:rPr>
      </w:pPr>
      <w:r>
        <w:rPr>
          <w:rFonts w:hint="eastAsia" w:ascii="仿宋_GB2312" w:hAnsi="宋体" w:eastAsia="仿宋_GB2312"/>
          <w:color w:val="auto"/>
          <w:sz w:val="32"/>
          <w:szCs w:val="32"/>
          <w:lang w:val="zh-CN"/>
        </w:rPr>
        <w:t>六经源自八纲，即太阳、阳明、少阳、太阴、少阴、厥阴，是人体患病后症状反应的病位（表、里、半表半里）与病性（阴、阳、寒、热、虚、实）的辨证统一，而非指具体脏腑经络。狭义经方特指《伤寒论》与《金匮要略》中所记载的方剂及其对应的方证。广义经方指在张仲景六经辨证理论体系指导下，以八纲为辨证基础，强调方证相应，用于指导临床诊疗的学术体系。</w:t>
      </w:r>
    </w:p>
    <w:p w14:paraId="18FDFB3E">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lang w:val="zh-CN"/>
        </w:rPr>
      </w:pPr>
      <w:r>
        <w:rPr>
          <w:rFonts w:hint="eastAsia" w:ascii="仿宋_GB2312" w:hAnsi="宋体" w:eastAsia="仿宋_GB2312"/>
          <w:color w:val="auto"/>
          <w:sz w:val="32"/>
          <w:szCs w:val="32"/>
          <w:lang w:val="zh-CN"/>
        </w:rPr>
        <w:t>经方医学的核心是方证相应，即证的八纲属性与方药的八纲属性高度对应。辨证论治的尖端在于辨方证。辨证遵循先辨六经以定病位病性，继析八纲以明细微，后定方证以施方药的原则。同时兼顾痰饮、瘀血、食毒等病因（三毒）。</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21D85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4918D8DC">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eastAsia="仿宋_GB2312"/>
                <w:color w:val="auto"/>
                <w:sz w:val="32"/>
                <w:szCs w:val="32"/>
                <w:vertAlign w:val="baseline"/>
                <w:lang w:val="zh-CN"/>
              </w:rPr>
            </w:pPr>
            <w:r>
              <w:drawing>
                <wp:inline distT="0" distB="0" distL="114300" distR="114300">
                  <wp:extent cx="2879725" cy="1550670"/>
                  <wp:effectExtent l="0" t="0" r="15875" b="1143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tretch>
                            <a:fillRect/>
                          </a:stretch>
                        </pic:blipFill>
                        <pic:spPr>
                          <a:xfrm>
                            <a:off x="0" y="0"/>
                            <a:ext cx="2879725" cy="1550670"/>
                          </a:xfrm>
                          <a:prstGeom prst="rect">
                            <a:avLst/>
                          </a:prstGeom>
                          <a:noFill/>
                          <a:ln>
                            <a:noFill/>
                          </a:ln>
                        </pic:spPr>
                      </pic:pic>
                    </a:graphicData>
                  </a:graphic>
                </wp:inline>
              </w:drawing>
            </w:r>
          </w:p>
        </w:tc>
      </w:tr>
      <w:tr w14:paraId="7C743C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1DF064F4">
            <w:pPr>
              <w:keepNext w:val="0"/>
              <w:keepLines w:val="0"/>
              <w:pageBreakBefore w:val="0"/>
              <w:kinsoku/>
              <w:overflowPunct/>
              <w:topLinePunct w:val="0"/>
              <w:bidi w:val="0"/>
              <w:snapToGrid/>
              <w:ind w:left="0" w:leftChars="0" w:firstLine="0" w:firstLineChars="0"/>
              <w:jc w:val="center"/>
              <w:textAlignment w:val="auto"/>
              <w:rPr>
                <w:sz w:val="24"/>
                <w:szCs w:val="21"/>
              </w:rPr>
            </w:pPr>
            <w:r>
              <w:rPr>
                <w:rFonts w:hint="eastAsia" w:ascii="仿宋_GB2312" w:hAnsi="仿宋_GB2312" w:eastAsia="仿宋_GB2312" w:cs="仿宋_GB2312"/>
                <w:sz w:val="24"/>
                <w:szCs w:val="21"/>
                <w:lang w:val="en-US" w:eastAsia="zh-CN"/>
              </w:rPr>
              <w:t xml:space="preserve">图1 </w:t>
            </w:r>
            <w:r>
              <w:rPr>
                <w:rFonts w:hint="eastAsia" w:ascii="仿宋_GB2312" w:hAnsi="仿宋_GB2312" w:eastAsia="仿宋_GB2312" w:cs="仿宋_GB2312"/>
                <w:sz w:val="24"/>
                <w:szCs w:val="21"/>
              </w:rPr>
              <w:t>六经与阴阳、表里</w:t>
            </w:r>
          </w:p>
        </w:tc>
      </w:tr>
    </w:tbl>
    <w:p w14:paraId="44FF4234">
      <w:pPr>
        <w:keepNext w:val="0"/>
        <w:keepLines w:val="0"/>
        <w:pageBreakBefore w:val="0"/>
        <w:kinsoku/>
        <w:overflowPunct/>
        <w:topLinePunct w:val="0"/>
        <w:bidi w:val="0"/>
        <w:snapToGrid/>
        <w:ind w:left="0" w:firstLine="643" w:firstLineChars="200"/>
        <w:textAlignment w:val="auto"/>
        <w:rPr>
          <w:rFonts w:hint="eastAsia" w:ascii="仿宋_GB2312" w:hAnsi="宋体" w:eastAsia="仿宋_GB2312"/>
          <w:color w:val="auto"/>
          <w:sz w:val="32"/>
          <w:szCs w:val="32"/>
          <w:lang w:val="zh-CN"/>
        </w:rPr>
      </w:pPr>
      <w:r>
        <w:rPr>
          <w:rFonts w:hint="eastAsia" w:ascii="仿宋_GB2312" w:hAnsi="宋体" w:eastAsia="仿宋_GB2312"/>
          <w:b/>
          <w:bCs/>
          <w:color w:val="auto"/>
          <w:sz w:val="32"/>
          <w:szCs w:val="32"/>
          <w:lang w:val="zh-CN"/>
        </w:rPr>
        <w:t>太阳病（表阳证）</w:t>
      </w:r>
      <w:r>
        <w:rPr>
          <w:rFonts w:hint="eastAsia" w:ascii="仿宋_GB2312" w:hAnsi="宋体"/>
          <w:b/>
          <w:bCs/>
          <w:color w:val="auto"/>
          <w:sz w:val="32"/>
          <w:szCs w:val="32"/>
          <w:lang w:val="zh-CN"/>
        </w:rPr>
        <w:t>：</w:t>
      </w:r>
      <w:r>
        <w:rPr>
          <w:rFonts w:hint="eastAsia" w:ascii="仿宋_GB2312" w:hAnsi="宋体" w:eastAsia="仿宋_GB2312"/>
          <w:color w:val="auto"/>
          <w:sz w:val="32"/>
          <w:szCs w:val="32"/>
          <w:lang w:val="zh-CN"/>
        </w:rPr>
        <w:t>颈肩臂腰臀腿部疼痛，以头项强痛、身痛、关节痛为主。伴恶寒或恶风、发热、无汗或汗出。舌淡红，苔薄白，脉浮紧或浮缓。</w:t>
      </w:r>
    </w:p>
    <w:p w14:paraId="678A6159">
      <w:pPr>
        <w:keepNext w:val="0"/>
        <w:keepLines w:val="0"/>
        <w:pageBreakBefore w:val="0"/>
        <w:kinsoku/>
        <w:overflowPunct/>
        <w:topLinePunct w:val="0"/>
        <w:bidi w:val="0"/>
        <w:snapToGrid/>
        <w:ind w:left="0" w:firstLine="643" w:firstLineChars="200"/>
        <w:textAlignment w:val="auto"/>
        <w:rPr>
          <w:rFonts w:hint="eastAsia" w:ascii="仿宋_GB2312" w:hAnsi="宋体" w:eastAsia="仿宋_GB2312"/>
          <w:color w:val="auto"/>
          <w:sz w:val="32"/>
          <w:szCs w:val="32"/>
          <w:lang w:val="zh-CN"/>
        </w:rPr>
      </w:pPr>
      <w:r>
        <w:rPr>
          <w:rFonts w:hint="eastAsia" w:ascii="仿宋_GB2312" w:hAnsi="宋体" w:eastAsia="仿宋_GB2312"/>
          <w:b/>
          <w:bCs/>
          <w:color w:val="auto"/>
          <w:sz w:val="32"/>
          <w:szCs w:val="32"/>
          <w:lang w:val="zh-CN"/>
        </w:rPr>
        <w:t>少阳病（半表半里阳证）</w:t>
      </w:r>
      <w:r>
        <w:rPr>
          <w:rFonts w:hint="eastAsia" w:ascii="仿宋_GB2312" w:hAnsi="宋体"/>
          <w:b/>
          <w:bCs/>
          <w:color w:val="auto"/>
          <w:sz w:val="32"/>
          <w:szCs w:val="32"/>
          <w:lang w:val="zh-CN"/>
        </w:rPr>
        <w:t>：</w:t>
      </w:r>
      <w:r>
        <w:rPr>
          <w:rFonts w:hint="eastAsia" w:ascii="仿宋_GB2312" w:hAnsi="宋体" w:eastAsia="仿宋_GB2312"/>
          <w:color w:val="auto"/>
          <w:sz w:val="32"/>
          <w:szCs w:val="32"/>
          <w:lang w:val="zh-CN"/>
        </w:rPr>
        <w:t>颈肩臂腰臀腿部疼痛、肢体关节胀痛，多见于肩外侧、胁肋、下肢外侧。伴口苦、咽干、目眩，往来寒热，胸胁苦满，心烦喜呕。舌淡红，苔薄白，脉弦。</w:t>
      </w:r>
    </w:p>
    <w:p w14:paraId="363A3F21">
      <w:pPr>
        <w:keepNext w:val="0"/>
        <w:keepLines w:val="0"/>
        <w:pageBreakBefore w:val="0"/>
        <w:kinsoku/>
        <w:overflowPunct/>
        <w:topLinePunct w:val="0"/>
        <w:bidi w:val="0"/>
        <w:snapToGrid/>
        <w:ind w:left="0" w:firstLine="643" w:firstLineChars="200"/>
        <w:textAlignment w:val="auto"/>
        <w:rPr>
          <w:rFonts w:hint="eastAsia" w:ascii="仿宋_GB2312" w:hAnsi="宋体" w:eastAsia="仿宋_GB2312"/>
          <w:color w:val="auto"/>
          <w:sz w:val="32"/>
          <w:szCs w:val="32"/>
          <w:lang w:val="zh-CN"/>
        </w:rPr>
      </w:pPr>
      <w:r>
        <w:rPr>
          <w:rFonts w:hint="eastAsia" w:ascii="仿宋_GB2312" w:hAnsi="宋体" w:eastAsia="仿宋_GB2312"/>
          <w:b/>
          <w:bCs/>
          <w:color w:val="auto"/>
          <w:sz w:val="32"/>
          <w:szCs w:val="32"/>
          <w:lang w:val="zh-CN"/>
        </w:rPr>
        <w:t>阳明病（里阳证）</w:t>
      </w:r>
      <w:r>
        <w:rPr>
          <w:rFonts w:hint="eastAsia" w:ascii="仿宋_GB2312" w:hAnsi="宋体"/>
          <w:b/>
          <w:bCs/>
          <w:color w:val="auto"/>
          <w:sz w:val="32"/>
          <w:szCs w:val="32"/>
          <w:lang w:val="zh-CN"/>
        </w:rPr>
        <w:t>：</w:t>
      </w:r>
      <w:r>
        <w:rPr>
          <w:rFonts w:hint="eastAsia" w:ascii="仿宋_GB2312" w:hAnsi="宋体" w:eastAsia="仿宋_GB2312"/>
          <w:color w:val="auto"/>
          <w:sz w:val="32"/>
          <w:szCs w:val="32"/>
          <w:lang w:val="zh-CN"/>
        </w:rPr>
        <w:t>颈肩臂腰臀腿部肿胀痛、或红热痛、关节红肿热痛，疼痛剧烈。伴身热、汗出、不恶寒反恶热、口干口渴、大便干结、小便黄赤。舌红，苔黄燥，脉滑数有力。</w:t>
      </w:r>
    </w:p>
    <w:p w14:paraId="4619D375">
      <w:pPr>
        <w:keepNext w:val="0"/>
        <w:keepLines w:val="0"/>
        <w:pageBreakBefore w:val="0"/>
        <w:kinsoku/>
        <w:overflowPunct/>
        <w:topLinePunct w:val="0"/>
        <w:bidi w:val="0"/>
        <w:snapToGrid/>
        <w:ind w:left="0" w:firstLine="643" w:firstLineChars="200"/>
        <w:textAlignment w:val="auto"/>
        <w:rPr>
          <w:rFonts w:hint="eastAsia" w:ascii="仿宋_GB2312" w:hAnsi="宋体" w:eastAsia="仿宋_GB2312"/>
          <w:color w:val="auto"/>
          <w:sz w:val="32"/>
          <w:szCs w:val="32"/>
          <w:lang w:val="zh-CN"/>
        </w:rPr>
      </w:pPr>
      <w:r>
        <w:rPr>
          <w:rFonts w:hint="eastAsia" w:ascii="仿宋_GB2312" w:hAnsi="宋体" w:eastAsia="仿宋_GB2312"/>
          <w:b/>
          <w:bCs/>
          <w:color w:val="auto"/>
          <w:sz w:val="32"/>
          <w:szCs w:val="32"/>
          <w:lang w:val="zh-CN"/>
        </w:rPr>
        <w:t>太阴病（里阴证）：</w:t>
      </w:r>
      <w:r>
        <w:rPr>
          <w:rFonts w:hint="eastAsia" w:ascii="仿宋_GB2312" w:hAnsi="宋体" w:eastAsia="仿宋_GB2312"/>
          <w:color w:val="auto"/>
          <w:sz w:val="32"/>
          <w:szCs w:val="32"/>
          <w:lang w:val="zh-CN"/>
        </w:rPr>
        <w:t>颈肩臂腰臀腿部隐痛、关节隐痛、困重、酸楚。遇寒加重，得温痛减。伴腹满食少、大便溏泄、口不渴。舌质淡，苔白滑，脉沉弱。</w:t>
      </w:r>
    </w:p>
    <w:p w14:paraId="32E5377E">
      <w:pPr>
        <w:keepNext w:val="0"/>
        <w:keepLines w:val="0"/>
        <w:pageBreakBefore w:val="0"/>
        <w:kinsoku/>
        <w:overflowPunct/>
        <w:topLinePunct w:val="0"/>
        <w:bidi w:val="0"/>
        <w:snapToGrid/>
        <w:ind w:left="0" w:firstLine="643" w:firstLineChars="200"/>
        <w:textAlignment w:val="auto"/>
        <w:rPr>
          <w:rFonts w:hint="eastAsia" w:ascii="仿宋_GB2312" w:hAnsi="宋体" w:eastAsia="仿宋_GB2312"/>
          <w:color w:val="auto"/>
          <w:sz w:val="32"/>
          <w:szCs w:val="32"/>
          <w:lang w:val="zh-CN"/>
        </w:rPr>
      </w:pPr>
      <w:r>
        <w:rPr>
          <w:rFonts w:hint="eastAsia" w:ascii="仿宋_GB2312" w:hAnsi="宋体" w:eastAsia="仿宋_GB2312"/>
          <w:b/>
          <w:bCs/>
          <w:color w:val="auto"/>
          <w:sz w:val="32"/>
          <w:szCs w:val="32"/>
          <w:lang w:val="zh-CN"/>
        </w:rPr>
        <w:t>少阴病（表阴证）：肢</w:t>
      </w:r>
      <w:r>
        <w:rPr>
          <w:rFonts w:hint="eastAsia" w:ascii="仿宋_GB2312" w:hAnsi="宋体" w:eastAsia="仿宋_GB2312"/>
          <w:color w:val="auto"/>
          <w:sz w:val="32"/>
          <w:szCs w:val="32"/>
          <w:lang w:val="zh-CN"/>
        </w:rPr>
        <w:t>体及周身关节冷痛，痛势绵绵。伴精神萎靡（但欲寐）、畏寒肢冷、四肢厥逆。舌质淡白，苔白，脉微细。</w:t>
      </w:r>
    </w:p>
    <w:p w14:paraId="6C86F09A">
      <w:pPr>
        <w:keepNext w:val="0"/>
        <w:keepLines w:val="0"/>
        <w:pageBreakBefore w:val="0"/>
        <w:kinsoku/>
        <w:overflowPunct/>
        <w:topLinePunct w:val="0"/>
        <w:bidi w:val="0"/>
        <w:snapToGrid/>
        <w:ind w:left="0" w:firstLine="643" w:firstLineChars="200"/>
        <w:textAlignment w:val="auto"/>
        <w:rPr>
          <w:rFonts w:hint="eastAsia" w:ascii="仿宋_GB2312" w:hAnsi="宋体" w:eastAsia="仿宋_GB2312"/>
          <w:color w:val="auto"/>
          <w:sz w:val="32"/>
          <w:szCs w:val="32"/>
          <w:lang w:val="zh-CN"/>
        </w:rPr>
      </w:pPr>
      <w:r>
        <w:rPr>
          <w:rFonts w:hint="eastAsia" w:ascii="仿宋_GB2312" w:hAnsi="宋体" w:eastAsia="仿宋_GB2312"/>
          <w:b/>
          <w:bCs/>
          <w:color w:val="auto"/>
          <w:sz w:val="32"/>
          <w:szCs w:val="32"/>
          <w:lang w:val="zh-CN"/>
        </w:rPr>
        <w:t>厥阴病（半表半里阴证）</w:t>
      </w:r>
      <w:r>
        <w:rPr>
          <w:rFonts w:hint="eastAsia" w:ascii="仿宋_GB2312" w:hAnsi="宋体"/>
          <w:b/>
          <w:bCs/>
          <w:color w:val="auto"/>
          <w:sz w:val="32"/>
          <w:szCs w:val="32"/>
          <w:lang w:val="zh-CN"/>
        </w:rPr>
        <w:t>：</w:t>
      </w:r>
      <w:r>
        <w:rPr>
          <w:rFonts w:hint="eastAsia" w:ascii="仿宋_GB2312" w:hAnsi="宋体" w:eastAsia="仿宋_GB2312"/>
          <w:color w:val="auto"/>
          <w:sz w:val="32"/>
          <w:szCs w:val="32"/>
          <w:lang w:val="zh-CN"/>
        </w:rPr>
        <w:t>肢体关节疼痛，呈寒热错杂表现。如上热见口苦、咽干、心烦、痤疮；下寒见腹泻便溏、手足厥冷。舌胖大，苔水滑，脉沉细无力。</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10715A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tcPr>
          <w:p w14:paraId="7C3F340D">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eastAsia="仿宋_GB2312"/>
                <w:color w:val="auto"/>
                <w:sz w:val="32"/>
                <w:szCs w:val="32"/>
                <w:vertAlign w:val="baseline"/>
                <w:lang w:val="zh-CN"/>
              </w:rPr>
            </w:pPr>
            <w:r>
              <w:drawing>
                <wp:inline distT="0" distB="0" distL="114300" distR="114300">
                  <wp:extent cx="2160270" cy="1600200"/>
                  <wp:effectExtent l="0" t="0" r="1143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8"/>
                          <a:stretch>
                            <a:fillRect/>
                          </a:stretch>
                        </pic:blipFill>
                        <pic:spPr>
                          <a:xfrm>
                            <a:off x="0" y="0"/>
                            <a:ext cx="2160270" cy="1600200"/>
                          </a:xfrm>
                          <a:prstGeom prst="rect">
                            <a:avLst/>
                          </a:prstGeom>
                          <a:noFill/>
                          <a:ln>
                            <a:noFill/>
                          </a:ln>
                        </pic:spPr>
                      </pic:pic>
                    </a:graphicData>
                  </a:graphic>
                </wp:inline>
              </w:drawing>
            </w:r>
          </w:p>
        </w:tc>
        <w:tc>
          <w:tcPr>
            <w:tcW w:w="4587" w:type="dxa"/>
          </w:tcPr>
          <w:p w14:paraId="53EE8B3B">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eastAsia="仿宋_GB2312"/>
                <w:color w:val="auto"/>
                <w:sz w:val="32"/>
                <w:szCs w:val="32"/>
                <w:vertAlign w:val="baseline"/>
                <w:lang w:val="zh-CN"/>
              </w:rPr>
            </w:pPr>
            <w:r>
              <w:drawing>
                <wp:inline distT="0" distB="0" distL="114300" distR="114300">
                  <wp:extent cx="2160270" cy="1591310"/>
                  <wp:effectExtent l="0" t="0" r="11430" b="889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9"/>
                          <a:stretch>
                            <a:fillRect/>
                          </a:stretch>
                        </pic:blipFill>
                        <pic:spPr>
                          <a:xfrm>
                            <a:off x="0" y="0"/>
                            <a:ext cx="2160270" cy="1591310"/>
                          </a:xfrm>
                          <a:prstGeom prst="rect">
                            <a:avLst/>
                          </a:prstGeom>
                          <a:noFill/>
                          <a:ln>
                            <a:noFill/>
                          </a:ln>
                        </pic:spPr>
                      </pic:pic>
                    </a:graphicData>
                  </a:graphic>
                </wp:inline>
              </w:drawing>
            </w:r>
          </w:p>
        </w:tc>
      </w:tr>
      <w:tr w14:paraId="0AAB00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tcPr>
          <w:p w14:paraId="10FD40D1">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eastAsia="仿宋_GB2312"/>
                <w:color w:val="auto"/>
                <w:sz w:val="32"/>
                <w:szCs w:val="32"/>
                <w:vertAlign w:val="baseline"/>
                <w:lang w:val="zh-CN"/>
              </w:rPr>
            </w:pPr>
            <w:r>
              <w:drawing>
                <wp:inline distT="0" distB="0" distL="114300" distR="114300">
                  <wp:extent cx="2160270" cy="1602105"/>
                  <wp:effectExtent l="0" t="0" r="11430" b="1714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0"/>
                          <a:stretch>
                            <a:fillRect/>
                          </a:stretch>
                        </pic:blipFill>
                        <pic:spPr>
                          <a:xfrm>
                            <a:off x="0" y="0"/>
                            <a:ext cx="2160270" cy="1602105"/>
                          </a:xfrm>
                          <a:prstGeom prst="rect">
                            <a:avLst/>
                          </a:prstGeom>
                          <a:noFill/>
                          <a:ln>
                            <a:noFill/>
                          </a:ln>
                        </pic:spPr>
                      </pic:pic>
                    </a:graphicData>
                  </a:graphic>
                </wp:inline>
              </w:drawing>
            </w:r>
          </w:p>
        </w:tc>
        <w:tc>
          <w:tcPr>
            <w:tcW w:w="4587" w:type="dxa"/>
          </w:tcPr>
          <w:p w14:paraId="1CA12CB5">
            <w:pPr>
              <w:keepNext w:val="0"/>
              <w:keepLines w:val="0"/>
              <w:pageBreakBefore w:val="0"/>
              <w:kinsoku/>
              <w:overflowPunct/>
              <w:topLinePunct w:val="0"/>
              <w:bidi w:val="0"/>
              <w:snapToGrid/>
              <w:ind w:left="0" w:leftChars="0" w:firstLine="0" w:firstLineChars="0"/>
              <w:jc w:val="center"/>
              <w:textAlignment w:val="auto"/>
              <w:rPr>
                <w:rFonts w:hint="eastAsia" w:ascii="仿宋_GB2312" w:hAnsi="宋体" w:eastAsia="仿宋_GB2312"/>
                <w:color w:val="auto"/>
                <w:sz w:val="32"/>
                <w:szCs w:val="32"/>
                <w:vertAlign w:val="baseline"/>
                <w:lang w:val="zh-CN"/>
              </w:rPr>
            </w:pPr>
            <w:r>
              <w:drawing>
                <wp:inline distT="0" distB="0" distL="114300" distR="114300">
                  <wp:extent cx="2160270" cy="1697355"/>
                  <wp:effectExtent l="0" t="0" r="11430" b="1714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1"/>
                          <a:stretch>
                            <a:fillRect/>
                          </a:stretch>
                        </pic:blipFill>
                        <pic:spPr>
                          <a:xfrm>
                            <a:off x="0" y="0"/>
                            <a:ext cx="2160270" cy="1697355"/>
                          </a:xfrm>
                          <a:prstGeom prst="rect">
                            <a:avLst/>
                          </a:prstGeom>
                          <a:noFill/>
                          <a:ln>
                            <a:noFill/>
                          </a:ln>
                        </pic:spPr>
                      </pic:pic>
                    </a:graphicData>
                  </a:graphic>
                </wp:inline>
              </w:drawing>
            </w:r>
          </w:p>
        </w:tc>
      </w:tr>
      <w:tr w14:paraId="28C016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tcPr>
          <w:p w14:paraId="09BE55C9">
            <w:pPr>
              <w:keepNext w:val="0"/>
              <w:keepLines w:val="0"/>
              <w:pageBreakBefore w:val="0"/>
              <w:kinsoku/>
              <w:overflowPunct/>
              <w:topLinePunct w:val="0"/>
              <w:bidi w:val="0"/>
              <w:snapToGrid/>
              <w:ind w:left="0" w:leftChars="0" w:firstLine="0" w:firstLineChars="0"/>
              <w:jc w:val="center"/>
              <w:textAlignment w:val="auto"/>
              <w:rPr>
                <w:rFonts w:hint="default" w:ascii="仿宋_GB2312" w:hAnsi="宋体" w:eastAsia="仿宋_GB2312"/>
                <w:color w:val="auto"/>
                <w:sz w:val="24"/>
                <w:szCs w:val="24"/>
                <w:vertAlign w:val="baseline"/>
                <w:lang w:val="en-US" w:eastAsia="zh-CN"/>
              </w:rPr>
            </w:pPr>
            <w:r>
              <w:rPr>
                <w:rFonts w:hint="eastAsia" w:ascii="仿宋_GB2312" w:hAnsi="仿宋_GB2312" w:eastAsia="仿宋_GB2312" w:cs="仿宋_GB2312"/>
                <w:color w:val="auto"/>
                <w:sz w:val="24"/>
                <w:szCs w:val="24"/>
                <w:vertAlign w:val="baseline"/>
                <w:lang w:val="en-US" w:eastAsia="zh-CN"/>
              </w:rPr>
              <w:t>图2 六经辩证治疗</w:t>
            </w:r>
          </w:p>
        </w:tc>
      </w:tr>
    </w:tbl>
    <w:p w14:paraId="60F02666">
      <w:pPr>
        <w:keepNext w:val="0"/>
        <w:keepLines w:val="0"/>
        <w:pageBreakBefore w:val="0"/>
        <w:kinsoku/>
        <w:overflowPunct/>
        <w:topLinePunct w:val="0"/>
        <w:bidi w:val="0"/>
        <w:snapToGrid/>
        <w:ind w:left="0" w:firstLine="643" w:firstLineChars="200"/>
        <w:textAlignment w:val="auto"/>
        <w:rPr>
          <w:rFonts w:hint="eastAsia" w:ascii="仿宋_GB2312" w:hAnsi="宋体" w:eastAsia="仿宋_GB2312" w:cs="Times New Roman"/>
          <w:b/>
          <w:color w:val="auto"/>
          <w:kern w:val="2"/>
          <w:sz w:val="32"/>
          <w:szCs w:val="32"/>
          <w:lang w:val="en-US" w:eastAsia="zh-CN" w:bidi="ar-SA"/>
        </w:rPr>
      </w:pPr>
      <w:r>
        <w:rPr>
          <w:rFonts w:hint="eastAsia" w:ascii="仿宋_GB2312" w:hAnsi="宋体" w:eastAsia="仿宋_GB2312" w:cs="Times New Roman"/>
          <w:b/>
          <w:color w:val="auto"/>
          <w:kern w:val="2"/>
          <w:sz w:val="32"/>
          <w:szCs w:val="32"/>
          <w:lang w:val="zh-CN" w:eastAsia="zh-CN" w:bidi="ar-SA"/>
        </w:rPr>
        <w:t>（</w:t>
      </w:r>
      <w:r>
        <w:rPr>
          <w:rFonts w:hint="eastAsia" w:ascii="仿宋_GB2312" w:hAnsi="宋体" w:eastAsia="仿宋_GB2312" w:cs="Times New Roman"/>
          <w:b/>
          <w:color w:val="auto"/>
          <w:kern w:val="2"/>
          <w:sz w:val="32"/>
          <w:szCs w:val="32"/>
          <w:lang w:val="en-US" w:eastAsia="zh-CN" w:bidi="ar-SA"/>
        </w:rPr>
        <w:t>二）治疗原则</w:t>
      </w:r>
    </w:p>
    <w:p w14:paraId="2A8ACE71">
      <w:pPr>
        <w:keepNext w:val="0"/>
        <w:keepLines w:val="0"/>
        <w:pageBreakBefore w:val="0"/>
        <w:kinsoku/>
        <w:overflowPunct/>
        <w:topLinePunct w:val="0"/>
        <w:bidi w:val="0"/>
        <w:snapToGrid/>
        <w:ind w:left="0" w:firstLine="640" w:firstLineChars="200"/>
        <w:textAlignment w:val="auto"/>
        <w:rPr>
          <w:rFonts w:hint="eastAsia" w:ascii="仿宋_GB2312" w:hAnsi="宋体"/>
          <w:color w:val="auto"/>
          <w:sz w:val="32"/>
          <w:szCs w:val="32"/>
          <w:lang w:val="en-US" w:eastAsia="zh-CN"/>
        </w:rPr>
      </w:pPr>
      <w:r>
        <w:rPr>
          <w:rFonts w:hint="eastAsia" w:ascii="仿宋_GB2312" w:hAnsi="宋体"/>
          <w:color w:val="auto"/>
          <w:sz w:val="32"/>
          <w:szCs w:val="32"/>
          <w:lang w:val="en-US" w:eastAsia="zh-CN"/>
        </w:rPr>
        <w:t>太阳病，病在表宜发汗，不可吐下。阳明病，热结于里而胃家实者，宜下之，但热而不实者，宜清热，若胸中实，则宜吐，不宜下。阳明病不宜汗。少阳病，病在半表半里，只宜和解(清上温中)，汗、下、吐均非所宜。</w:t>
      </w:r>
    </w:p>
    <w:p w14:paraId="63ECA1D4">
      <w:pPr>
        <w:keepNext w:val="0"/>
        <w:keepLines w:val="0"/>
        <w:pageBreakBefore w:val="0"/>
        <w:kinsoku/>
        <w:overflowPunct/>
        <w:topLinePunct w:val="0"/>
        <w:bidi w:val="0"/>
        <w:snapToGrid/>
        <w:ind w:left="0" w:firstLine="643" w:firstLineChars="200"/>
        <w:textAlignment w:val="auto"/>
        <w:rPr>
          <w:rFonts w:hint="eastAsia" w:ascii="仿宋_GB2312" w:hAnsi="宋体" w:eastAsia="仿宋_GB2312" w:cs="Times New Roman"/>
          <w:b/>
          <w:color w:val="auto"/>
          <w:kern w:val="2"/>
          <w:sz w:val="32"/>
          <w:szCs w:val="32"/>
          <w:lang w:val="en-US" w:eastAsia="zh-CN" w:bidi="ar-SA"/>
        </w:rPr>
      </w:pPr>
      <w:r>
        <w:rPr>
          <w:rFonts w:hint="eastAsia" w:ascii="仿宋_GB2312" w:hAnsi="宋体" w:eastAsia="仿宋_GB2312" w:cs="Times New Roman"/>
          <w:b/>
          <w:color w:val="auto"/>
          <w:kern w:val="2"/>
          <w:sz w:val="32"/>
          <w:szCs w:val="32"/>
          <w:lang w:val="en-US" w:eastAsia="zh-CN" w:bidi="ar-SA"/>
        </w:rPr>
        <w:t>（三）方证治疗</w:t>
      </w:r>
    </w:p>
    <w:p w14:paraId="457090EF">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遵循胡希恕经方医学体系，以六经为纲、方证为目，强调“方证是辨证论治的尖端”，依据患者症状反应确定六经归属，进而选择对应方证。每首方证以《伤寒论》《金匮要略》相关条文为理论依据，方药组成严守经方原方比例，确保方证的经典性。每首方证明确六经归属、主症、病机、治法、方药、加减及用法，便于临床医师辨方证、选方药</w:t>
      </w:r>
      <w:r>
        <w:rPr>
          <w:rFonts w:hint="eastAsia" w:ascii="仿宋_GB2312" w:hAnsi="宋体"/>
          <w:color w:val="auto"/>
          <w:sz w:val="32"/>
          <w:szCs w:val="32"/>
          <w:lang w:val="en-US" w:eastAsia="zh-CN"/>
        </w:rPr>
        <w:t>。</w:t>
      </w:r>
    </w:p>
    <w:p w14:paraId="49803D08">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lang w:val="en-US" w:eastAsia="zh-CN"/>
        </w:rPr>
      </w:pPr>
      <w:r>
        <w:rPr>
          <w:rFonts w:hint="eastAsia" w:ascii="仿宋_GB2312" w:hAnsi="宋体"/>
          <w:color w:val="auto"/>
          <w:sz w:val="32"/>
          <w:szCs w:val="32"/>
          <w:lang w:val="en-US" w:eastAsia="zh-CN"/>
        </w:rPr>
        <w:t>如葛根汤以“项背强痛、发热恶寒、无汗”为主症，符合太阳病“脉浮、头项强痛而恶寒”的提纲证；附子汤以“身体痛、骨节疼痛、手足寒冷、脉沉细”为主症，符合少阴病“脉微细、但欲寐”的少阴寒化证特征。合病方证则依据症状同时具备两经特征确定。方药组成严守经方原方，剂量参考《伤寒论》《金匮要略》原方剂量，结合临床实际折算为现代常用剂量。方药加减遵循“随证治之”原则，在经方原方基础上，根据兼夹证候进行化裁。主要方证如下：</w:t>
      </w:r>
    </w:p>
    <w:p w14:paraId="6620226D">
      <w:pPr>
        <w:keepNext w:val="0"/>
        <w:keepLines w:val="0"/>
        <w:pageBreakBefore w:val="0"/>
        <w:kinsoku/>
        <w:overflowPunct/>
        <w:topLinePunct w:val="0"/>
        <w:bidi w:val="0"/>
        <w:snapToGrid/>
        <w:ind w:left="0" w:firstLine="643" w:firstLineChars="200"/>
        <w:textAlignment w:val="auto"/>
        <w:rPr>
          <w:rFonts w:hint="default" w:ascii="仿宋_GB2312" w:hAnsi="宋体"/>
          <w:b/>
          <w:bCs/>
          <w:color w:val="auto"/>
          <w:sz w:val="32"/>
          <w:szCs w:val="32"/>
          <w:lang w:val="en-US" w:eastAsia="zh-CN"/>
        </w:rPr>
      </w:pPr>
      <w:r>
        <w:rPr>
          <w:rFonts w:hint="default" w:ascii="仿宋_GB2312" w:hAnsi="宋体"/>
          <w:b/>
          <w:bCs/>
          <w:color w:val="auto"/>
          <w:sz w:val="32"/>
          <w:szCs w:val="32"/>
          <w:lang w:val="en-US" w:eastAsia="zh-CN"/>
        </w:rPr>
        <w:t>葛根汤证</w:t>
      </w:r>
      <w:r>
        <w:rPr>
          <w:rFonts w:hint="eastAsia" w:ascii="仿宋_GB2312" w:hAnsi="宋体"/>
          <w:b/>
          <w:bCs/>
          <w:color w:val="auto"/>
          <w:sz w:val="32"/>
          <w:szCs w:val="32"/>
          <w:lang w:val="en-US" w:eastAsia="zh-CN"/>
        </w:rPr>
        <w:t>：</w:t>
      </w:r>
    </w:p>
    <w:p w14:paraId="5C0EC416">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lang w:val="en-US" w:eastAsia="zh-CN"/>
        </w:rPr>
      </w:pPr>
      <w:r>
        <w:rPr>
          <w:rFonts w:hint="default" w:ascii="仿宋_GB2312" w:hAnsi="宋体"/>
          <w:color w:val="auto"/>
          <w:sz w:val="32"/>
          <w:szCs w:val="32"/>
          <w:lang w:val="en-US" w:eastAsia="zh-CN"/>
        </w:rPr>
        <w:t>主症：项背强痛，发热恶寒，无汗恶风，腰酸身重，苔白，脉弦滑。</w:t>
      </w:r>
    </w:p>
    <w:p w14:paraId="7FE6E513">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lang w:val="en-US" w:eastAsia="zh-CN"/>
        </w:rPr>
      </w:pPr>
      <w:r>
        <w:rPr>
          <w:rFonts w:hint="default" w:ascii="仿宋_GB2312" w:hAnsi="宋体"/>
          <w:color w:val="auto"/>
          <w:sz w:val="32"/>
          <w:szCs w:val="32"/>
          <w:lang w:val="en-US" w:eastAsia="zh-CN"/>
        </w:rPr>
        <w:t>条文：《伤寒论》第31条“太阳病，项背强几几、无汗、恶风，葛根汤主之。【葛根汤】葛根四两、麻黄三两、桂枝二两、芍药二两、炙甘草二两、生姜三两、大枣十二枚，右七味，以水七升，先煮麻黄、葛根，减二升，去沫，内诸药，煮取三升，去滓，温服一升，覆取微似汗，不须啜粥，余如桂枝汤法将息及禁忌。”</w:t>
      </w:r>
    </w:p>
    <w:p w14:paraId="33446106">
      <w:pPr>
        <w:keepNext w:val="0"/>
        <w:keepLines w:val="0"/>
        <w:pageBreakBefore w:val="0"/>
        <w:kinsoku/>
        <w:overflowPunct/>
        <w:topLinePunct w:val="0"/>
        <w:bidi w:val="0"/>
        <w:snapToGrid/>
        <w:ind w:left="0" w:firstLine="643" w:firstLineChars="200"/>
        <w:textAlignment w:val="auto"/>
        <w:rPr>
          <w:rFonts w:hint="default" w:ascii="仿宋_GB2312" w:hAnsi="宋体"/>
          <w:b/>
          <w:bCs/>
          <w:color w:val="auto"/>
          <w:sz w:val="32"/>
          <w:szCs w:val="32"/>
          <w:lang w:val="en-US" w:eastAsia="zh-CN"/>
        </w:rPr>
      </w:pPr>
      <w:bookmarkStart w:id="47" w:name="_Toc233042947"/>
      <w:bookmarkStart w:id="48" w:name="_Toc233373066"/>
      <w:bookmarkStart w:id="49" w:name="_Toc233040951"/>
      <w:bookmarkStart w:id="50" w:name="_Toc233036134"/>
      <w:r>
        <w:rPr>
          <w:rFonts w:hint="eastAsia" w:ascii="仿宋_GB2312" w:hAnsi="宋体"/>
          <w:b/>
          <w:bCs/>
          <w:color w:val="auto"/>
          <w:sz w:val="32"/>
          <w:szCs w:val="32"/>
          <w:lang w:val="en-US" w:eastAsia="zh-CN"/>
        </w:rPr>
        <w:t>黄芪桂枝五物汤证</w:t>
      </w:r>
      <w:bookmarkEnd w:id="47"/>
      <w:bookmarkEnd w:id="48"/>
      <w:bookmarkEnd w:id="49"/>
      <w:bookmarkEnd w:id="50"/>
      <w:r>
        <w:rPr>
          <w:rFonts w:hint="eastAsia" w:ascii="仿宋_GB2312" w:hAnsi="宋体"/>
          <w:b/>
          <w:bCs/>
          <w:color w:val="auto"/>
          <w:sz w:val="32"/>
          <w:szCs w:val="32"/>
          <w:lang w:val="en-US" w:eastAsia="zh-CN"/>
        </w:rPr>
        <w:t>：</w:t>
      </w:r>
    </w:p>
    <w:p w14:paraId="21725236">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lang w:val="en-US" w:eastAsia="zh-CN"/>
        </w:rPr>
      </w:pPr>
      <w:r>
        <w:rPr>
          <w:rFonts w:hint="default" w:ascii="仿宋_GB2312" w:hAnsi="宋体"/>
          <w:color w:val="auto"/>
          <w:sz w:val="32"/>
          <w:szCs w:val="32"/>
          <w:lang w:val="en-US" w:eastAsia="zh-CN"/>
        </w:rPr>
        <w:t>主症：长期关节疼痛，汗出恶风明显，四肢关节冷，或身热，或肢体麻木不仁，苔薄白，脉缓。</w:t>
      </w:r>
    </w:p>
    <w:p w14:paraId="2F3E37FF">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lang w:val="en-US" w:eastAsia="zh-CN"/>
        </w:rPr>
      </w:pPr>
      <w:r>
        <w:rPr>
          <w:rFonts w:hint="default" w:ascii="仿宋_GB2312" w:hAnsi="宋体"/>
          <w:color w:val="auto"/>
          <w:sz w:val="32"/>
          <w:szCs w:val="32"/>
          <w:lang w:val="en-US" w:eastAsia="zh-CN"/>
        </w:rPr>
        <w:t>条文：《金匮要略．血痹虚劳病脉证并治第六》第2条“问曰：血痹病从何得之？师曰：夫尊荣人，骨弱肌肤盛，重因疲劳汗出，卧不时动摇，加被微风，遂得之。但以脉自微涩，在寸口、关上小紧，宜针引阳气，令脉和，紧去则愈。血痹，阴阳俱微，寸口关上微，尺中小紧，外证身体不仁，如风痹状，黄芪桂枝五物汤主之。【黄芪桂枝五物汤】黄芪三两、芍药三两、桂枝三两、生姜六两、大枣十二枚，右五味，以水六升，煮取二升，温服七合，日三服”</w:t>
      </w:r>
    </w:p>
    <w:p w14:paraId="246C6133">
      <w:pPr>
        <w:keepNext w:val="0"/>
        <w:keepLines w:val="0"/>
        <w:pageBreakBefore w:val="0"/>
        <w:kinsoku/>
        <w:overflowPunct/>
        <w:topLinePunct w:val="0"/>
        <w:bidi w:val="0"/>
        <w:snapToGrid/>
        <w:ind w:left="0" w:firstLine="643" w:firstLineChars="200"/>
        <w:textAlignment w:val="auto"/>
        <w:rPr>
          <w:rFonts w:hint="eastAsia" w:ascii="仿宋_GB2312" w:hAnsi="宋体"/>
          <w:b/>
          <w:bCs/>
          <w:color w:val="auto"/>
          <w:sz w:val="32"/>
          <w:szCs w:val="32"/>
          <w:lang w:val="en-US" w:eastAsia="zh-CN"/>
        </w:rPr>
      </w:pPr>
      <w:r>
        <w:rPr>
          <w:rFonts w:hint="eastAsia" w:ascii="仿宋_GB2312" w:hAnsi="宋体"/>
          <w:b/>
          <w:bCs/>
          <w:color w:val="auto"/>
          <w:sz w:val="32"/>
          <w:szCs w:val="32"/>
          <w:lang w:val="en-US" w:eastAsia="zh-CN"/>
        </w:rPr>
        <w:t>麻杏苡甘汤证：</w:t>
      </w:r>
    </w:p>
    <w:p w14:paraId="03EE28E6">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lang w:val="en-US" w:eastAsia="zh-CN"/>
        </w:rPr>
      </w:pPr>
      <w:r>
        <w:rPr>
          <w:rFonts w:hint="default" w:ascii="仿宋_GB2312" w:hAnsi="宋体"/>
          <w:color w:val="auto"/>
          <w:sz w:val="32"/>
          <w:szCs w:val="32"/>
          <w:lang w:val="en-US" w:eastAsia="zh-CN"/>
        </w:rPr>
        <w:t>主症：周身关节痛，发热午后明显，身重，或四肢关节肿，口中和或黏，舌苔白腻，脉沉弦滑。</w:t>
      </w:r>
    </w:p>
    <w:p w14:paraId="260B3108">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lang w:val="en-US" w:eastAsia="zh-CN"/>
        </w:rPr>
      </w:pPr>
      <w:r>
        <w:rPr>
          <w:rFonts w:hint="default" w:ascii="仿宋_GB2312" w:hAnsi="宋体"/>
          <w:color w:val="auto"/>
          <w:sz w:val="32"/>
          <w:szCs w:val="32"/>
          <w:lang w:val="en-US" w:eastAsia="zh-CN"/>
        </w:rPr>
        <w:t>条文：《金匮要略.二》第21条“病者一身尽疼，发热，日晡所剧者，名风湿。此病伤于汗出当风，或久伤取冷所致也，可与麻黄杏仁薏苡甘草汤。【麻黄杏仁薏苡甘草汤】麻黄半两、炙甘草一两、薏苡仁半两、杏仁十个，右锉麻豆大，每服四钱匕，水盏半，煮八分，去痒，温服，有微汗，避风。”</w:t>
      </w:r>
    </w:p>
    <w:p w14:paraId="143A0934">
      <w:pPr>
        <w:keepNext w:val="0"/>
        <w:keepLines w:val="0"/>
        <w:pageBreakBefore w:val="0"/>
        <w:kinsoku/>
        <w:overflowPunct/>
        <w:topLinePunct w:val="0"/>
        <w:bidi w:val="0"/>
        <w:snapToGrid/>
        <w:ind w:left="0" w:firstLine="643" w:firstLineChars="200"/>
        <w:textAlignment w:val="auto"/>
        <w:rPr>
          <w:rFonts w:hint="eastAsia" w:ascii="仿宋_GB2312" w:hAnsi="宋体"/>
          <w:b/>
          <w:bCs/>
          <w:color w:val="auto"/>
          <w:sz w:val="32"/>
          <w:szCs w:val="32"/>
          <w:lang w:val="en-US" w:eastAsia="zh-CN"/>
        </w:rPr>
      </w:pPr>
      <w:bookmarkStart w:id="51" w:name="_Toc233373080"/>
      <w:bookmarkStart w:id="52" w:name="_Toc233040965"/>
      <w:bookmarkStart w:id="53" w:name="_Toc233036148"/>
      <w:bookmarkStart w:id="54" w:name="_Toc233042961"/>
      <w:r>
        <w:rPr>
          <w:rFonts w:hint="eastAsia" w:ascii="仿宋_GB2312" w:hAnsi="宋体"/>
          <w:b/>
          <w:bCs/>
          <w:color w:val="auto"/>
          <w:sz w:val="32"/>
          <w:szCs w:val="32"/>
          <w:lang w:val="en-US" w:eastAsia="zh-CN"/>
        </w:rPr>
        <w:t>桂枝芍药知母汤证</w:t>
      </w:r>
      <w:bookmarkEnd w:id="51"/>
      <w:bookmarkEnd w:id="52"/>
      <w:bookmarkEnd w:id="53"/>
      <w:bookmarkEnd w:id="54"/>
    </w:p>
    <w:p w14:paraId="523A4DBA">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lang w:val="en-US" w:eastAsia="zh-CN"/>
        </w:rPr>
      </w:pPr>
      <w:r>
        <w:rPr>
          <w:rFonts w:hint="default" w:ascii="仿宋_GB2312" w:hAnsi="宋体"/>
          <w:color w:val="auto"/>
          <w:sz w:val="32"/>
          <w:szCs w:val="32"/>
          <w:lang w:val="en-US" w:eastAsia="zh-CN"/>
        </w:rPr>
        <w:t>主症：周身关节，四肢或膝关节肿、僵硬，或肢、指、趾关节变形，头眩气短，苔白，脉弦。</w:t>
      </w:r>
    </w:p>
    <w:p w14:paraId="0A40DE5C">
      <w:pPr>
        <w:keepNext w:val="0"/>
        <w:keepLines w:val="0"/>
        <w:pageBreakBefore w:val="0"/>
        <w:kinsoku/>
        <w:overflowPunct/>
        <w:topLinePunct w:val="0"/>
        <w:bidi w:val="0"/>
        <w:snapToGrid/>
        <w:ind w:left="0" w:firstLine="640" w:firstLineChars="200"/>
        <w:textAlignment w:val="auto"/>
        <w:rPr>
          <w:rFonts w:hint="default" w:ascii="仿宋_GB2312" w:hAnsi="宋体"/>
          <w:color w:val="auto"/>
          <w:sz w:val="32"/>
          <w:szCs w:val="32"/>
          <w:lang w:val="en-US" w:eastAsia="zh-CN"/>
        </w:rPr>
      </w:pPr>
      <w:r>
        <w:rPr>
          <w:rFonts w:hint="default" w:ascii="仿宋_GB2312" w:hAnsi="宋体"/>
          <w:color w:val="auto"/>
          <w:sz w:val="32"/>
          <w:szCs w:val="32"/>
          <w:lang w:val="en-US" w:eastAsia="zh-CN"/>
        </w:rPr>
        <w:t>条文：《金匮要略.五》第8条“诸肢节疼痛，身体魁羸，脚肿如脱，头眩短气，温温欲吐，桂枝芍药知母汤主之。【桂枝芍药知母汤】桂枝四两、芍药三两、甘草二两、麻黄二两、生姜五两、白术五两、知母四两、防风四两、炮附子二枚，右九味，以水七升，煮取二升，温服七合，日三服。”</w:t>
      </w:r>
    </w:p>
    <w:p w14:paraId="60387386">
      <w:pPr>
        <w:keepNext w:val="0"/>
        <w:keepLines w:val="0"/>
        <w:pageBreakBefore w:val="0"/>
        <w:kinsoku/>
        <w:overflowPunct/>
        <w:topLinePunct w:val="0"/>
        <w:bidi w:val="0"/>
        <w:snapToGrid/>
        <w:ind w:left="0" w:firstLine="643" w:firstLineChars="200"/>
        <w:textAlignment w:val="auto"/>
        <w:rPr>
          <w:rFonts w:hint="default" w:ascii="仿宋_GB2312" w:hAnsi="宋体" w:eastAsia="仿宋_GB2312" w:cs="Times New Roman"/>
          <w:b/>
          <w:color w:val="auto"/>
          <w:kern w:val="2"/>
          <w:sz w:val="32"/>
          <w:szCs w:val="32"/>
          <w:lang w:val="en-US" w:eastAsia="zh-CN" w:bidi="ar-SA"/>
        </w:rPr>
      </w:pPr>
      <w:r>
        <w:rPr>
          <w:rFonts w:hint="eastAsia" w:ascii="仿宋_GB2312" w:hAnsi="宋体" w:eastAsia="仿宋_GB2312" w:cs="Times New Roman"/>
          <w:b/>
          <w:color w:val="auto"/>
          <w:kern w:val="2"/>
          <w:sz w:val="32"/>
          <w:szCs w:val="32"/>
          <w:lang w:val="en-US" w:eastAsia="zh-CN" w:bidi="ar-SA"/>
        </w:rPr>
        <w:t>（四）禁忌证</w:t>
      </w:r>
    </w:p>
    <w:p w14:paraId="1148FDDF">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eastAsia" w:ascii="仿宋_GB2312" w:hAnsi="宋体"/>
          <w:color w:val="auto"/>
          <w:sz w:val="32"/>
          <w:szCs w:val="32"/>
          <w:lang w:val="en-US" w:eastAsia="zh-CN"/>
        </w:rPr>
        <w:t>主要禁忌症包括：</w:t>
      </w:r>
      <w:r>
        <w:rPr>
          <w:rFonts w:hint="default" w:ascii="仿宋_GB2312" w:hAnsi="宋体" w:eastAsia="仿宋_GB2312"/>
          <w:color w:val="auto"/>
          <w:sz w:val="32"/>
          <w:szCs w:val="32"/>
          <w:lang w:val="en-US" w:eastAsia="zh-CN"/>
        </w:rPr>
        <w:t>产后、崩漏、大出血后及严重贫血患者，忌用峻猛发汗、破血通经之方药</w:t>
      </w:r>
      <w:r>
        <w:rPr>
          <w:rFonts w:hint="eastAsia" w:ascii="仿宋_GB2312" w:hAnsi="宋体"/>
          <w:color w:val="auto"/>
          <w:sz w:val="32"/>
          <w:szCs w:val="32"/>
          <w:lang w:val="en-US" w:eastAsia="zh-CN"/>
        </w:rPr>
        <w:t>；</w:t>
      </w:r>
      <w:r>
        <w:rPr>
          <w:rFonts w:hint="default" w:ascii="仿宋_GB2312" w:hAnsi="宋体" w:eastAsia="仿宋_GB2312"/>
          <w:color w:val="auto"/>
          <w:sz w:val="32"/>
          <w:szCs w:val="32"/>
          <w:lang w:val="en-US" w:eastAsia="zh-CN"/>
        </w:rPr>
        <w:t>对经方中虫类药（如全蝎、蜈蚣、地龙、水蛭等）、毒性药物（如乌头、附子等）有明确过敏史者，禁用该类方剂</w:t>
      </w:r>
      <w:r>
        <w:rPr>
          <w:rFonts w:hint="eastAsia" w:ascii="仿宋_GB2312" w:hAnsi="宋体"/>
          <w:color w:val="auto"/>
          <w:sz w:val="32"/>
          <w:szCs w:val="32"/>
          <w:lang w:val="en-US" w:eastAsia="zh-CN"/>
        </w:rPr>
        <w:t>；</w:t>
      </w:r>
      <w:r>
        <w:rPr>
          <w:rFonts w:hint="default" w:ascii="仿宋_GB2312" w:hAnsi="宋体" w:eastAsia="仿宋_GB2312"/>
          <w:color w:val="auto"/>
          <w:sz w:val="32"/>
          <w:szCs w:val="32"/>
          <w:lang w:val="en-US" w:eastAsia="zh-CN"/>
        </w:rPr>
        <w:t>严重心力衰竭、严重肝肾功能不全、严重心律失常、消化道溃疡活动期患者，禁用含乌头、附子等毒性较强的方药</w:t>
      </w:r>
      <w:r>
        <w:rPr>
          <w:rFonts w:hint="eastAsia" w:ascii="仿宋_GB2312" w:hAnsi="宋体"/>
          <w:color w:val="auto"/>
          <w:sz w:val="32"/>
          <w:szCs w:val="32"/>
          <w:lang w:val="en-US" w:eastAsia="zh-CN"/>
        </w:rPr>
        <w:t>；</w:t>
      </w:r>
      <w:r>
        <w:rPr>
          <w:rFonts w:hint="default" w:ascii="仿宋_GB2312" w:hAnsi="宋体" w:eastAsia="仿宋_GB2312"/>
          <w:color w:val="auto"/>
          <w:sz w:val="32"/>
          <w:szCs w:val="32"/>
          <w:lang w:val="en-US" w:eastAsia="zh-CN"/>
        </w:rPr>
        <w:t>孕妇禁用含乌头、附子、虫类药及破血通经作用较强的方药。</w:t>
      </w:r>
    </w:p>
    <w:p w14:paraId="6B334FCD">
      <w:pPr>
        <w:keepNext w:val="0"/>
        <w:keepLines w:val="0"/>
        <w:pageBreakBefore w:val="0"/>
        <w:kinsoku/>
        <w:overflowPunct/>
        <w:topLinePunct w:val="0"/>
        <w:bidi w:val="0"/>
        <w:snapToGrid/>
        <w:ind w:left="0" w:firstLine="643" w:firstLineChars="200"/>
        <w:textAlignment w:val="auto"/>
        <w:rPr>
          <w:rFonts w:hint="default" w:ascii="仿宋_GB2312" w:hAnsi="宋体" w:eastAsia="仿宋_GB2312" w:cs="Times New Roman"/>
          <w:b/>
          <w:color w:val="auto"/>
          <w:kern w:val="2"/>
          <w:sz w:val="32"/>
          <w:szCs w:val="32"/>
          <w:lang w:val="en-US" w:eastAsia="zh-CN" w:bidi="ar-SA"/>
        </w:rPr>
      </w:pPr>
      <w:r>
        <w:rPr>
          <w:rFonts w:hint="eastAsia" w:ascii="仿宋_GB2312" w:hAnsi="宋体" w:eastAsia="仿宋_GB2312" w:cs="Times New Roman"/>
          <w:b/>
          <w:color w:val="auto"/>
          <w:kern w:val="2"/>
          <w:sz w:val="32"/>
          <w:szCs w:val="32"/>
          <w:lang w:val="en-US" w:eastAsia="zh-CN" w:bidi="ar-SA"/>
        </w:rPr>
        <w:t>（五）注意事项</w:t>
      </w:r>
    </w:p>
    <w:p w14:paraId="3FC2EA3D">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治疗应在六经辨证基础上，辨识瘀血、痰饮等兼夹证候，合理配伍活血化瘀、化痰通络之品。针对顽固性痹病，可酌情使用虫类药物搜风剔络，但见效后应及时停用。治疗期间，应指导患者避风寒、适寒温，不应长时间处于潮湿阴冷环境，或过度劳累。</w:t>
      </w:r>
    </w:p>
    <w:p w14:paraId="6F029E43">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制附片、制川乌应另煲，先煎2h以上，直至口尝无麻舌感为度</w:t>
      </w:r>
      <w:r>
        <w:rPr>
          <w:rFonts w:hint="eastAsia" w:ascii="仿宋_GB2312" w:hAnsi="宋体"/>
          <w:color w:val="auto"/>
          <w:sz w:val="32"/>
          <w:szCs w:val="32"/>
          <w:lang w:val="en-US" w:eastAsia="zh-CN"/>
        </w:rPr>
        <w:t>，</w:t>
      </w:r>
      <w:r>
        <w:rPr>
          <w:rFonts w:hint="default" w:ascii="仿宋_GB2312" w:hAnsi="宋体" w:eastAsia="仿宋_GB2312"/>
          <w:color w:val="auto"/>
          <w:sz w:val="32"/>
          <w:szCs w:val="32"/>
          <w:lang w:val="en-US" w:eastAsia="zh-CN"/>
        </w:rPr>
        <w:t>煎药器具宜用砂锅或陶瓷锅，不应用铁器</w:t>
      </w:r>
      <w:r>
        <w:rPr>
          <w:rFonts w:hint="eastAsia" w:ascii="仿宋_GB2312" w:hAnsi="宋体"/>
          <w:color w:val="auto"/>
          <w:sz w:val="32"/>
          <w:szCs w:val="32"/>
          <w:lang w:val="en-US" w:eastAsia="zh-CN"/>
        </w:rPr>
        <w:t>，</w:t>
      </w:r>
      <w:r>
        <w:rPr>
          <w:rFonts w:hint="default" w:ascii="仿宋_GB2312" w:hAnsi="宋体" w:eastAsia="仿宋_GB2312"/>
          <w:color w:val="auto"/>
          <w:sz w:val="32"/>
          <w:szCs w:val="32"/>
          <w:lang w:val="en-US" w:eastAsia="zh-CN"/>
        </w:rPr>
        <w:t>服药后若出现口唇、肢体麻木、心慌、头晕等，应立即停药并就诊。</w:t>
      </w:r>
    </w:p>
    <w:p w14:paraId="26FD3703">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default" w:ascii="仿宋_GB2312" w:hAnsi="宋体" w:eastAsia="仿宋_GB2312"/>
          <w:color w:val="auto"/>
          <w:sz w:val="32"/>
          <w:szCs w:val="32"/>
          <w:lang w:val="en-US" w:eastAsia="zh-CN"/>
        </w:rPr>
        <w:t>含虫类药物的方剂，宜研末冲服或装胶囊服用，使用前应明确患者无相关过敏史。</w:t>
      </w:r>
      <w:r>
        <w:rPr>
          <w:rFonts w:hint="eastAsia" w:ascii="仿宋_GB2312" w:hAnsi="宋体"/>
          <w:color w:val="auto"/>
          <w:sz w:val="32"/>
          <w:szCs w:val="32"/>
          <w:lang w:val="en-US" w:eastAsia="zh-CN"/>
        </w:rPr>
        <w:t>同时</w:t>
      </w:r>
      <w:r>
        <w:rPr>
          <w:rFonts w:hint="default" w:ascii="仿宋_GB2312" w:hAnsi="宋体" w:eastAsia="仿宋_GB2312"/>
          <w:color w:val="auto"/>
          <w:sz w:val="32"/>
          <w:szCs w:val="32"/>
          <w:lang w:val="en-US" w:eastAsia="zh-CN"/>
        </w:rPr>
        <w:t>应向患者说明治疗周期，建立信心，坚持规范化治疗，不应随意变更方案。</w:t>
      </w:r>
    </w:p>
    <w:p w14:paraId="0729DDBE">
      <w:pPr>
        <w:keepNext w:val="0"/>
        <w:keepLines w:val="0"/>
        <w:pageBreakBefore w:val="0"/>
        <w:kinsoku/>
        <w:overflowPunct/>
        <w:topLinePunct w:val="0"/>
        <w:bidi w:val="0"/>
        <w:snapToGrid/>
        <w:ind w:left="0" w:firstLine="643" w:firstLineChars="200"/>
        <w:textAlignment w:val="auto"/>
        <w:rPr>
          <w:rFonts w:hint="default" w:ascii="仿宋_GB2312" w:hAnsi="宋体" w:eastAsia="仿宋_GB2312" w:cs="Times New Roman"/>
          <w:b/>
          <w:bCs w:val="0"/>
          <w:color w:val="auto"/>
          <w:kern w:val="2"/>
          <w:sz w:val="32"/>
          <w:szCs w:val="32"/>
          <w:lang w:val="en-US" w:eastAsia="zh-CN" w:bidi="ar-SA"/>
        </w:rPr>
      </w:pPr>
      <w:r>
        <w:rPr>
          <w:rFonts w:hint="eastAsia" w:ascii="仿宋_GB2312" w:hAnsi="宋体" w:eastAsia="仿宋_GB2312" w:cs="Times New Roman"/>
          <w:b/>
          <w:bCs w:val="0"/>
          <w:color w:val="auto"/>
          <w:kern w:val="2"/>
          <w:sz w:val="32"/>
          <w:szCs w:val="32"/>
          <w:lang w:val="en-US" w:eastAsia="zh-CN" w:bidi="ar-SA"/>
        </w:rPr>
        <w:t>（六）健康宣教</w:t>
      </w:r>
    </w:p>
    <w:p w14:paraId="0397295E">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lang w:val="en-US" w:eastAsia="zh-CN"/>
        </w:rPr>
      </w:pPr>
      <w:r>
        <w:rPr>
          <w:rFonts w:hint="eastAsia" w:ascii="仿宋_GB2312" w:hAnsi="宋体" w:eastAsia="仿宋_GB2312"/>
          <w:color w:val="auto"/>
          <w:sz w:val="32"/>
          <w:szCs w:val="32"/>
          <w:lang w:val="en-US" w:eastAsia="zh-CN"/>
        </w:rPr>
        <w:t>痹病是典型的“环境-免疫-遗传”多因素疾病，</w:t>
      </w:r>
      <w:r>
        <w:rPr>
          <w:rFonts w:hint="eastAsia" w:ascii="仿宋_GB2312" w:hAnsi="宋体"/>
          <w:color w:val="auto"/>
          <w:sz w:val="32"/>
          <w:szCs w:val="32"/>
          <w:lang w:val="en-US" w:eastAsia="zh-CN"/>
        </w:rPr>
        <w:t>容易</w:t>
      </w:r>
      <w:r>
        <w:rPr>
          <w:rFonts w:hint="eastAsia" w:ascii="仿宋_GB2312" w:hAnsi="宋体" w:eastAsia="仿宋_GB2312"/>
          <w:color w:val="auto"/>
          <w:sz w:val="32"/>
          <w:szCs w:val="32"/>
          <w:lang w:val="en-US" w:eastAsia="zh-CN"/>
        </w:rPr>
        <w:t>复发。宣教部分针对</w:t>
      </w:r>
      <w:r>
        <w:rPr>
          <w:rFonts w:hint="eastAsia" w:ascii="仿宋_GB2312" w:hAnsi="宋体"/>
          <w:color w:val="auto"/>
          <w:sz w:val="32"/>
          <w:szCs w:val="32"/>
          <w:lang w:val="en-US" w:eastAsia="zh-CN"/>
        </w:rPr>
        <w:t>易</w:t>
      </w:r>
      <w:r>
        <w:rPr>
          <w:rFonts w:hint="eastAsia" w:ascii="仿宋_GB2312" w:hAnsi="宋体" w:eastAsia="仿宋_GB2312"/>
          <w:color w:val="auto"/>
          <w:sz w:val="32"/>
          <w:szCs w:val="32"/>
          <w:lang w:val="en-US" w:eastAsia="zh-CN"/>
        </w:rPr>
        <w:t>复发的诱因</w:t>
      </w:r>
      <w:r>
        <w:rPr>
          <w:rFonts w:hint="eastAsia" w:ascii="仿宋_GB2312" w:hAnsi="宋体"/>
          <w:color w:val="auto"/>
          <w:sz w:val="32"/>
          <w:szCs w:val="32"/>
          <w:lang w:val="en-US" w:eastAsia="zh-CN"/>
        </w:rPr>
        <w:t>开展。</w:t>
      </w:r>
    </w:p>
    <w:p w14:paraId="19AFC97D">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lang w:val="en-US" w:eastAsia="zh-CN"/>
        </w:rPr>
      </w:pPr>
      <w:r>
        <w:rPr>
          <w:rFonts w:hint="eastAsia" w:ascii="仿宋_GB2312" w:hAnsi="宋体" w:eastAsia="仿宋_GB2312"/>
          <w:color w:val="auto"/>
          <w:sz w:val="32"/>
          <w:szCs w:val="32"/>
          <w:lang w:val="en-US" w:eastAsia="zh-CN"/>
        </w:rPr>
        <w:t>寒痹吃羊肉/生姜</w:t>
      </w:r>
      <w:r>
        <w:rPr>
          <w:rFonts w:hint="eastAsia" w:ascii="仿宋_GB2312" w:hAnsi="宋体"/>
          <w:color w:val="auto"/>
          <w:sz w:val="32"/>
          <w:szCs w:val="32"/>
          <w:lang w:val="en-US" w:eastAsia="zh-CN"/>
        </w:rPr>
        <w:t>，</w:t>
      </w:r>
      <w:r>
        <w:rPr>
          <w:rFonts w:hint="eastAsia" w:ascii="仿宋_GB2312" w:hAnsi="宋体" w:eastAsia="仿宋_GB2312"/>
          <w:color w:val="auto"/>
          <w:sz w:val="32"/>
          <w:szCs w:val="32"/>
          <w:lang w:val="en-US" w:eastAsia="zh-CN"/>
        </w:rPr>
        <w:t>利用温热之品的外源性热量补充内源性阳气，改善末梢微循环。热痹吃绿豆/薏苡仁</w:t>
      </w:r>
      <w:r>
        <w:rPr>
          <w:rFonts w:hint="eastAsia" w:ascii="仿宋_GB2312" w:hAnsi="宋体"/>
          <w:color w:val="auto"/>
          <w:sz w:val="32"/>
          <w:szCs w:val="32"/>
          <w:lang w:val="en-US" w:eastAsia="zh-CN"/>
        </w:rPr>
        <w:t>，</w:t>
      </w:r>
      <w:r>
        <w:rPr>
          <w:rFonts w:hint="eastAsia" w:ascii="仿宋_GB2312" w:hAnsi="宋体" w:eastAsia="仿宋_GB2312"/>
          <w:color w:val="auto"/>
          <w:sz w:val="32"/>
          <w:szCs w:val="32"/>
          <w:lang w:val="en-US" w:eastAsia="zh-CN"/>
        </w:rPr>
        <w:t>利用甘寒渗湿之品抑制炎症反应中的红肿热痛。生冷伤脾阳，阻碍运化则湿气内生；海鲜（高嘌呤及异体蛋白）可能诱发免疫系统过度应答，加重关节炎急性发作（痛风或过敏诱导）。</w:t>
      </w:r>
    </w:p>
    <w:p w14:paraId="6A4E92D8">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lang w:val="en-US" w:eastAsia="zh-CN"/>
        </w:rPr>
      </w:pPr>
      <w:r>
        <w:rPr>
          <w:rFonts w:hint="eastAsia" w:ascii="仿宋_GB2312" w:hAnsi="宋体" w:eastAsia="仿宋_GB2312"/>
          <w:color w:val="auto"/>
          <w:sz w:val="32"/>
          <w:szCs w:val="32"/>
          <w:lang w:val="en-US" w:eastAsia="zh-CN"/>
        </w:rPr>
        <w:t>功能锻炼推荐八段锦、太极拳而不是跑步、深蹲。因为痹病患者关节软骨和韧带已受损，剧烈运动会加速磨损。导引术（拉伸与缓慢抗阻）的核心是“动形以养气”，通过缓慢的肌肉收缩挤压静脉丛，促进关节滑液循环（营养软骨），同时避免承重下剪切力对关节的二次伤害。</w:t>
      </w:r>
    </w:p>
    <w:p w14:paraId="7E65014F">
      <w:pPr>
        <w:keepNext w:val="0"/>
        <w:keepLines w:val="0"/>
        <w:pageBreakBefore w:val="0"/>
        <w:kinsoku/>
        <w:overflowPunct/>
        <w:topLinePunct w:val="0"/>
        <w:bidi w:val="0"/>
        <w:snapToGrid/>
        <w:ind w:left="0" w:firstLine="640" w:firstLineChars="200"/>
        <w:textAlignment w:val="auto"/>
        <w:rPr>
          <w:rFonts w:hint="eastAsia" w:ascii="仿宋_GB2312" w:hAnsi="宋体" w:eastAsia="仿宋_GB2312"/>
          <w:color w:val="auto"/>
          <w:sz w:val="32"/>
          <w:szCs w:val="32"/>
          <w:lang w:val="en-US" w:eastAsia="zh-CN"/>
        </w:rPr>
      </w:pPr>
      <w:r>
        <w:rPr>
          <w:rFonts w:hint="eastAsia" w:ascii="仿宋_GB2312" w:hAnsi="宋体" w:eastAsia="仿宋_GB2312"/>
          <w:color w:val="auto"/>
          <w:sz w:val="32"/>
          <w:szCs w:val="32"/>
          <w:lang w:val="en-US" w:eastAsia="zh-CN"/>
        </w:rPr>
        <w:t>避风寒与汗后护理</w:t>
      </w:r>
      <w:r>
        <w:rPr>
          <w:rFonts w:hint="eastAsia" w:ascii="仿宋_GB2312" w:hAnsi="宋体"/>
          <w:color w:val="auto"/>
          <w:sz w:val="32"/>
          <w:szCs w:val="32"/>
          <w:lang w:val="en-US" w:eastAsia="zh-CN"/>
        </w:rPr>
        <w:t>，</w:t>
      </w:r>
      <w:r>
        <w:rPr>
          <w:rFonts w:hint="eastAsia" w:ascii="仿宋_GB2312" w:hAnsi="宋体" w:eastAsia="仿宋_GB2312"/>
          <w:color w:val="auto"/>
          <w:sz w:val="32"/>
          <w:szCs w:val="32"/>
          <w:lang w:val="en-US" w:eastAsia="zh-CN"/>
        </w:rPr>
        <w:t>出汗时毛孔大开，免疫力虚弱，此时淋雨涉水或吹冷风，风寒湿邪会乘虚直入经络深处。及时擦干、换衣，是为了在物理层面立即关闭“邪气入侵的通道”。</w:t>
      </w:r>
    </w:p>
    <w:p w14:paraId="77FDF28A">
      <w:pPr>
        <w:keepNext w:val="0"/>
        <w:keepLines w:val="0"/>
        <w:pageBreakBefore w:val="0"/>
        <w:kinsoku/>
        <w:overflowPunct/>
        <w:topLinePunct w:val="0"/>
        <w:bidi w:val="0"/>
        <w:snapToGrid/>
        <w:ind w:left="0" w:firstLine="640" w:firstLineChars="200"/>
        <w:textAlignment w:val="auto"/>
        <w:rPr>
          <w:rFonts w:hint="default" w:ascii="仿宋_GB2312" w:hAnsi="宋体" w:eastAsia="仿宋_GB2312"/>
          <w:color w:val="auto"/>
          <w:sz w:val="32"/>
          <w:szCs w:val="32"/>
          <w:lang w:val="en-US" w:eastAsia="zh-CN"/>
        </w:rPr>
      </w:pPr>
      <w:r>
        <w:rPr>
          <w:rFonts w:hint="eastAsia" w:ascii="仿宋_GB2312" w:hAnsi="宋体" w:eastAsia="仿宋_GB2312"/>
          <w:color w:val="auto"/>
          <w:sz w:val="32"/>
          <w:szCs w:val="32"/>
          <w:lang w:val="en-US" w:eastAsia="zh-CN"/>
        </w:rPr>
        <w:t>长期疼痛会导致“肝气郁结”，气滞则血瘀，血瘀则痛甚，形成恶性循环。疏导情绪是为了恢复肝主疏泄的功能，使气血运行顺畅，药物才能更好地到达病所。</w:t>
      </w:r>
    </w:p>
    <w:p w14:paraId="412D30FF">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bookmarkStart w:id="55" w:name="_Toc526940086"/>
      <w:r>
        <w:rPr>
          <w:rFonts w:hint="eastAsia" w:ascii="黑体" w:hAnsi="黑体" w:eastAsia="黑体" w:cs="仿宋_GB2312"/>
          <w:color w:val="auto"/>
          <w:sz w:val="32"/>
          <w:szCs w:val="32"/>
        </w:rPr>
        <w:t>六、</w:t>
      </w:r>
      <w:bookmarkEnd w:id="55"/>
      <w:r>
        <w:rPr>
          <w:rFonts w:hint="eastAsia" w:ascii="黑体" w:hAnsi="黑体" w:eastAsia="黑体" w:cs="仿宋_GB2312"/>
          <w:color w:val="auto"/>
          <w:sz w:val="32"/>
          <w:szCs w:val="32"/>
        </w:rPr>
        <w:t>重大分歧意见的处理经过和依据</w:t>
      </w:r>
    </w:p>
    <w:p w14:paraId="7DBD7D8D">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本标准研制过程中无重大分歧意见。</w:t>
      </w:r>
    </w:p>
    <w:p w14:paraId="69867F09">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七</w:t>
      </w:r>
      <w:r>
        <w:rPr>
          <w:rFonts w:ascii="黑体" w:hAnsi="黑体" w:eastAsia="黑体" w:cs="仿宋_GB2312"/>
          <w:color w:val="auto"/>
          <w:sz w:val="32"/>
          <w:szCs w:val="32"/>
        </w:rPr>
        <w:t>、</w:t>
      </w:r>
      <w:r>
        <w:rPr>
          <w:rFonts w:hint="eastAsia" w:ascii="黑体" w:hAnsi="黑体" w:eastAsia="黑体" w:cs="仿宋_GB2312"/>
          <w:color w:val="auto"/>
          <w:sz w:val="32"/>
          <w:szCs w:val="32"/>
        </w:rPr>
        <w:t>实施标准的措施</w:t>
      </w:r>
    </w:p>
    <w:p w14:paraId="67C45D00">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rPr>
      </w:pPr>
      <w:r>
        <w:rPr>
          <w:rFonts w:hint="eastAsia" w:ascii="仿宋_GB2312" w:hAnsi="宋体" w:eastAsia="仿宋_GB2312"/>
          <w:b/>
          <w:color w:val="auto"/>
          <w:sz w:val="32"/>
          <w:szCs w:val="28"/>
        </w:rPr>
        <w:t>（一）标准报批发布后，成立标准宣贯工作组</w:t>
      </w:r>
    </w:p>
    <w:p w14:paraId="7330B5F1">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EC0E2CD">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rPr>
      </w:pPr>
      <w:r>
        <w:rPr>
          <w:rFonts w:hint="eastAsia" w:ascii="仿宋_GB2312" w:hAnsi="宋体" w:eastAsia="仿宋_GB2312"/>
          <w:b/>
          <w:color w:val="auto"/>
          <w:sz w:val="32"/>
          <w:szCs w:val="28"/>
        </w:rPr>
        <w:t>（二）组织开展标准宣贯培训</w:t>
      </w:r>
    </w:p>
    <w:p w14:paraId="38C99CE1">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29942561">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rPr>
      </w:pPr>
      <w:r>
        <w:rPr>
          <w:rFonts w:hint="eastAsia" w:ascii="仿宋_GB2312" w:hAnsi="宋体" w:eastAsia="仿宋_GB2312"/>
          <w:b/>
          <w:color w:val="auto"/>
          <w:sz w:val="32"/>
          <w:szCs w:val="28"/>
        </w:rPr>
        <w:t>（三）开展标准实施交流会，收集标准实施反馈信息</w:t>
      </w:r>
    </w:p>
    <w:p w14:paraId="336AB236">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标准起草小组深入各市县相关机构、单位组织技术人员召开标准实施交流会，听取标准实施过程中存在的问题并做好记录和解答，对存在的问题组织专家团队进行研讨，为标准的复审修订做准备。</w:t>
      </w:r>
    </w:p>
    <w:p w14:paraId="1F438F65">
      <w:pPr>
        <w:keepNext w:val="0"/>
        <w:keepLines w:val="0"/>
        <w:pageBreakBefore w:val="0"/>
        <w:kinsoku/>
        <w:overflowPunct/>
        <w:topLinePunct w:val="0"/>
        <w:bidi w:val="0"/>
        <w:snapToGrid/>
        <w:spacing w:line="560" w:lineRule="exact"/>
        <w:ind w:left="0" w:firstLine="643" w:firstLineChars="200"/>
        <w:textAlignment w:val="auto"/>
        <w:rPr>
          <w:rFonts w:ascii="仿宋_GB2312" w:hAnsi="宋体" w:eastAsia="仿宋_GB2312"/>
          <w:b/>
          <w:color w:val="auto"/>
          <w:sz w:val="32"/>
          <w:szCs w:val="28"/>
        </w:rPr>
      </w:pPr>
      <w:r>
        <w:rPr>
          <w:rFonts w:hint="eastAsia" w:ascii="仿宋_GB2312" w:hAnsi="宋体" w:eastAsia="仿宋_GB2312"/>
          <w:b/>
          <w:color w:val="auto"/>
          <w:sz w:val="32"/>
          <w:szCs w:val="28"/>
        </w:rPr>
        <w:t>（四）开展标准实施效果评估</w:t>
      </w:r>
    </w:p>
    <w:p w14:paraId="7DE0DDFE">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36B16457">
      <w:pPr>
        <w:keepNext w:val="0"/>
        <w:keepLines w:val="0"/>
        <w:pageBreakBefore w:val="0"/>
        <w:kinsoku/>
        <w:overflowPunct/>
        <w:topLinePunct w:val="0"/>
        <w:autoSpaceDE w:val="0"/>
        <w:autoSpaceDN w:val="0"/>
        <w:bidi w:val="0"/>
        <w:adjustRightInd w:val="0"/>
        <w:snapToGrid/>
        <w:spacing w:line="560" w:lineRule="exact"/>
        <w:ind w:left="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八、其他应当说明的事项</w:t>
      </w:r>
    </w:p>
    <w:p w14:paraId="23A53EB2">
      <w:pPr>
        <w:keepNext w:val="0"/>
        <w:keepLines w:val="0"/>
        <w:pageBreakBefore w:val="0"/>
        <w:kinsoku/>
        <w:overflowPunct/>
        <w:topLinePunct w:val="0"/>
        <w:bidi w:val="0"/>
        <w:snapToGrid/>
        <w:spacing w:line="560" w:lineRule="exact"/>
        <w:ind w:left="0" w:firstLine="640" w:firstLineChars="200"/>
        <w:textAlignment w:val="auto"/>
        <w:rPr>
          <w:rFonts w:ascii="仿宋_GB2312" w:hAnsi="宋体" w:eastAsia="仿宋_GB2312"/>
          <w:color w:val="auto"/>
          <w:sz w:val="32"/>
          <w:szCs w:val="28"/>
        </w:rPr>
      </w:pPr>
      <w:r>
        <w:rPr>
          <w:rFonts w:hint="eastAsia" w:ascii="仿宋_GB2312" w:hAnsi="宋体" w:eastAsia="仿宋_GB2312"/>
          <w:color w:val="auto"/>
          <w:sz w:val="32"/>
          <w:szCs w:val="28"/>
        </w:rPr>
        <w:t>无。</w:t>
      </w:r>
    </w:p>
    <w:p w14:paraId="0FDE70D6">
      <w:pPr>
        <w:keepNext w:val="0"/>
        <w:keepLines w:val="0"/>
        <w:pageBreakBefore w:val="0"/>
        <w:kinsoku/>
        <w:overflowPunct/>
        <w:topLinePunct w:val="0"/>
        <w:bidi w:val="0"/>
        <w:snapToGrid/>
        <w:spacing w:line="560" w:lineRule="exact"/>
        <w:ind w:left="0" w:leftChars="0" w:firstLine="0" w:firstLineChars="0"/>
        <w:textAlignment w:val="auto"/>
        <w:rPr>
          <w:rFonts w:ascii="仿宋_GB2312" w:hAnsi="仿宋" w:eastAsia="仿宋_GB2312"/>
          <w:bCs/>
          <w:color w:val="auto"/>
          <w:sz w:val="36"/>
          <w:szCs w:val="32"/>
        </w:rPr>
      </w:pPr>
    </w:p>
    <w:p w14:paraId="639B864D">
      <w:pPr>
        <w:keepNext w:val="0"/>
        <w:keepLines w:val="0"/>
        <w:pageBreakBefore w:val="0"/>
        <w:kinsoku/>
        <w:wordWrap w:val="0"/>
        <w:overflowPunct/>
        <w:topLinePunct w:val="0"/>
        <w:bidi w:val="0"/>
        <w:snapToGrid/>
        <w:spacing w:line="560" w:lineRule="exact"/>
        <w:ind w:left="0"/>
        <w:jc w:val="right"/>
        <w:textAlignment w:val="auto"/>
        <w:rPr>
          <w:rFonts w:ascii="仿宋_GB2312" w:hAnsi="宋体" w:eastAsia="仿宋_GB2312"/>
          <w:color w:val="auto"/>
          <w:sz w:val="32"/>
          <w:szCs w:val="28"/>
        </w:rPr>
      </w:pPr>
      <w:r>
        <w:rPr>
          <w:rFonts w:hint="eastAsia" w:ascii="仿宋_GB2312" w:hAnsi="宋体" w:eastAsia="仿宋_GB2312"/>
          <w:color w:val="auto"/>
          <w:sz w:val="32"/>
          <w:szCs w:val="28"/>
        </w:rPr>
        <w:t>团体标准《经方医学六经辨证体系治疗痹病技术规范》</w:t>
      </w:r>
    </w:p>
    <w:p w14:paraId="607C1987">
      <w:pPr>
        <w:keepNext w:val="0"/>
        <w:keepLines w:val="0"/>
        <w:pageBreakBefore w:val="0"/>
        <w:kinsoku/>
        <w:wordWrap w:val="0"/>
        <w:overflowPunct/>
        <w:topLinePunct w:val="0"/>
        <w:bidi w:val="0"/>
        <w:snapToGrid/>
        <w:spacing w:line="560" w:lineRule="exact"/>
        <w:ind w:left="0"/>
        <w:jc w:val="right"/>
        <w:textAlignment w:val="auto"/>
        <w:rPr>
          <w:rFonts w:ascii="仿宋_GB2312" w:hAnsi="宋体" w:eastAsia="仿宋_GB2312"/>
          <w:color w:val="auto"/>
          <w:sz w:val="32"/>
          <w:szCs w:val="28"/>
        </w:rPr>
      </w:pPr>
      <w:r>
        <w:rPr>
          <w:rFonts w:hint="eastAsia" w:ascii="仿宋_GB2312" w:hAnsi="宋体" w:eastAsia="仿宋_GB2312"/>
          <w:color w:val="auto"/>
          <w:sz w:val="32"/>
          <w:szCs w:val="28"/>
        </w:rPr>
        <w:t xml:space="preserve">标准编制工作组 </w:t>
      </w:r>
      <w:r>
        <w:rPr>
          <w:rFonts w:ascii="仿宋_GB2312" w:hAnsi="宋体" w:eastAsia="仿宋_GB2312"/>
          <w:color w:val="auto"/>
          <w:sz w:val="32"/>
          <w:szCs w:val="28"/>
        </w:rPr>
        <w:t xml:space="preserve">        </w:t>
      </w:r>
    </w:p>
    <w:p w14:paraId="539467F6">
      <w:pPr>
        <w:keepNext w:val="0"/>
        <w:keepLines w:val="0"/>
        <w:pageBreakBefore w:val="0"/>
        <w:kinsoku/>
        <w:wordWrap w:val="0"/>
        <w:overflowPunct/>
        <w:topLinePunct w:val="0"/>
        <w:bidi w:val="0"/>
        <w:snapToGrid/>
        <w:spacing w:line="560" w:lineRule="exact"/>
        <w:ind w:left="0"/>
        <w:jc w:val="right"/>
        <w:textAlignment w:val="auto"/>
        <w:rPr>
          <w:rFonts w:ascii="仿宋_GB2312" w:hAnsi="宋体" w:eastAsia="仿宋_GB2312"/>
          <w:color w:val="auto"/>
          <w:sz w:val="32"/>
          <w:szCs w:val="28"/>
        </w:rPr>
      </w:pPr>
      <w:r>
        <w:rPr>
          <w:rFonts w:hint="eastAsia" w:ascii="仿宋_GB2312" w:hAnsi="宋体" w:eastAsia="仿宋_GB2312"/>
          <w:color w:val="auto"/>
          <w:sz w:val="32"/>
          <w:szCs w:val="28"/>
        </w:rPr>
        <w:t>20</w:t>
      </w:r>
      <w:r>
        <w:rPr>
          <w:rFonts w:hint="eastAsia" w:ascii="仿宋_GB2312" w:hAnsi="宋体"/>
          <w:color w:val="auto"/>
          <w:sz w:val="32"/>
          <w:szCs w:val="28"/>
          <w:lang w:val="en-US" w:eastAsia="zh-CN"/>
        </w:rPr>
        <w:t>26</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6</w:t>
      </w:r>
      <w:r>
        <w:rPr>
          <w:rFonts w:hint="eastAsia" w:ascii="仿宋_GB2312" w:hAnsi="宋体" w:eastAsia="仿宋_GB2312"/>
          <w:color w:val="auto"/>
          <w:sz w:val="32"/>
          <w:szCs w:val="28"/>
        </w:rPr>
        <w:t>月</w:t>
      </w:r>
      <w:r>
        <w:rPr>
          <w:rFonts w:hint="eastAsia" w:ascii="仿宋_GB2312" w:hAnsi="宋体"/>
          <w:color w:val="auto"/>
          <w:sz w:val="32"/>
          <w:szCs w:val="28"/>
          <w:lang w:val="en-US" w:eastAsia="zh-CN"/>
        </w:rPr>
        <w:t>29</w:t>
      </w:r>
      <w:bookmarkStart w:id="56" w:name="_GoBack"/>
      <w:bookmarkEnd w:id="56"/>
      <w:r>
        <w:rPr>
          <w:rFonts w:hint="eastAsia" w:ascii="仿宋_GB2312" w:hAnsi="宋体" w:eastAsia="仿宋_GB2312"/>
          <w:color w:val="auto"/>
          <w:sz w:val="32"/>
          <w:szCs w:val="28"/>
        </w:rPr>
        <w:t xml:space="preserve">日       </w:t>
      </w:r>
      <w:r>
        <w:rPr>
          <w:rFonts w:ascii="仿宋_GB2312" w:hAnsi="宋体" w:eastAsia="仿宋_GB2312"/>
          <w:color w:val="auto"/>
          <w:sz w:val="32"/>
          <w:szCs w:val="28"/>
        </w:rPr>
        <w:t xml:space="preserve"> </w:t>
      </w:r>
    </w:p>
    <w:sectPr>
      <w:footerReference r:id="rId5" w:type="default"/>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80"/>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docPartObj>
        <w:docPartGallery w:val="autotext"/>
      </w:docPartObj>
    </w:sdtPr>
    <w:sdtContent>
      <w:p w14:paraId="2BE1229F">
        <w:pPr>
          <w:pStyle w:val="3"/>
          <w:jc w:val="center"/>
        </w:pPr>
        <w:r>
          <w:fldChar w:fldCharType="begin"/>
        </w:r>
        <w:r>
          <w:instrText xml:space="preserve">PAGE   \* MERGEFORMAT</w:instrText>
        </w:r>
        <w:r>
          <w:fldChar w:fldCharType="separate"/>
        </w:r>
        <w:r>
          <w:rPr>
            <w:lang w:val="zh-CN"/>
          </w:rPr>
          <w:t>7</w:t>
        </w:r>
        <w:r>
          <w:fldChar w:fldCharType="end"/>
        </w:r>
      </w:p>
    </w:sdtContent>
  </w:sdt>
  <w:p w14:paraId="76F9E80E">
    <w:pPr>
      <w:pStyle w:val="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20"/>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24"/>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1DBF583A"/>
    <w:multiLevelType w:val="multilevel"/>
    <w:tmpl w:val="1DBF583A"/>
    <w:lvl w:ilvl="0" w:tentative="0">
      <w:start w:val="1"/>
      <w:numFmt w:val="decimal"/>
      <w:pStyle w:val="23"/>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1FC91163"/>
    <w:multiLevelType w:val="multilevel"/>
    <w:tmpl w:val="1FC91163"/>
    <w:lvl w:ilvl="0" w:tentative="0">
      <w:start w:val="1"/>
      <w:numFmt w:val="decimal"/>
      <w:pStyle w:val="15"/>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4"/>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16"/>
      <w:suff w:val="nothing"/>
      <w:lvlText w:val="%1.%2.%3　"/>
      <w:lvlJc w:val="left"/>
      <w:pPr>
        <w:ind w:left="0" w:firstLine="0"/>
      </w:pPr>
      <w:rPr>
        <w:rFonts w:hint="eastAsia" w:ascii="黑体" w:hAnsi="Times New Roman" w:eastAsia="黑体"/>
        <w:b w:val="0"/>
        <w:i w:val="0"/>
        <w:sz w:val="21"/>
      </w:rPr>
    </w:lvl>
    <w:lvl w:ilvl="3" w:tentative="0">
      <w:start w:val="1"/>
      <w:numFmt w:val="decimal"/>
      <w:pStyle w:val="17"/>
      <w:suff w:val="nothing"/>
      <w:lvlText w:val="%1.%2.%3.%4　"/>
      <w:lvlJc w:val="left"/>
      <w:pPr>
        <w:ind w:left="0" w:firstLine="0"/>
      </w:pPr>
      <w:rPr>
        <w:rFonts w:hint="eastAsia" w:ascii="黑体" w:hAnsi="Times New Roman" w:eastAsia="黑体"/>
        <w:b w:val="0"/>
        <w:i w:val="0"/>
        <w:sz w:val="21"/>
      </w:rPr>
    </w:lvl>
    <w:lvl w:ilvl="4" w:tentative="0">
      <w:start w:val="1"/>
      <w:numFmt w:val="decimal"/>
      <w:pStyle w:val="18"/>
      <w:suff w:val="nothing"/>
      <w:lvlText w:val="%1.%2.%3.%4.%5　"/>
      <w:lvlJc w:val="left"/>
      <w:pPr>
        <w:ind w:left="0" w:firstLine="0"/>
      </w:pPr>
      <w:rPr>
        <w:rFonts w:hint="eastAsia" w:ascii="黑体" w:hAnsi="Times New Roman" w:eastAsia="黑体"/>
        <w:b w:val="0"/>
        <w:i w:val="0"/>
        <w:sz w:val="21"/>
      </w:rPr>
    </w:lvl>
    <w:lvl w:ilvl="5" w:tentative="0">
      <w:start w:val="1"/>
      <w:numFmt w:val="decimal"/>
      <w:pStyle w:val="19"/>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2A8F7113"/>
    <w:multiLevelType w:val="multilevel"/>
    <w:tmpl w:val="2A8F7113"/>
    <w:lvl w:ilvl="0" w:tentative="0">
      <w:start w:val="1"/>
      <w:numFmt w:val="upperLetter"/>
      <w:pStyle w:val="21"/>
      <w:suff w:val="space"/>
      <w:lvlText w:val="%1"/>
      <w:lvlJc w:val="left"/>
      <w:pPr>
        <w:ind w:left="623" w:hanging="425"/>
      </w:pPr>
      <w:rPr>
        <w:rFonts w:hint="eastAsia"/>
      </w:rPr>
    </w:lvl>
    <w:lvl w:ilvl="1" w:tentative="0">
      <w:start w:val="1"/>
      <w:numFmt w:val="decimal"/>
      <w:pStyle w:val="22"/>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557C2AF5"/>
    <w:multiLevelType w:val="multilevel"/>
    <w:tmpl w:val="557C2AF5"/>
    <w:lvl w:ilvl="0" w:tentative="0">
      <w:start w:val="1"/>
      <w:numFmt w:val="decimal"/>
      <w:pStyle w:val="13"/>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28"/>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7">
    <w:nsid w:val="646260FA"/>
    <w:multiLevelType w:val="multilevel"/>
    <w:tmpl w:val="646260FA"/>
    <w:lvl w:ilvl="0" w:tentative="0">
      <w:start w:val="1"/>
      <w:numFmt w:val="decimal"/>
      <w:pStyle w:val="12"/>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8">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37"/>
      <w:suff w:val="nothing"/>
      <w:lvlText w:val="%1%2　"/>
      <w:lvlJc w:val="left"/>
      <w:pPr>
        <w:ind w:left="0" w:firstLine="0"/>
      </w:pPr>
      <w:rPr>
        <w:rFonts w:hint="eastAsia" w:ascii="黑体" w:eastAsia="黑体"/>
        <w:b w:val="0"/>
        <w:i w:val="0"/>
        <w:sz w:val="21"/>
      </w:rPr>
    </w:lvl>
    <w:lvl w:ilvl="2" w:tentative="0">
      <w:start w:val="1"/>
      <w:numFmt w:val="decimal"/>
      <w:pStyle w:val="36"/>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7"/>
  </w:num>
  <w:num w:numId="2">
    <w:abstractNumId w:val="5"/>
  </w:num>
  <w:num w:numId="3">
    <w:abstractNumId w:val="3"/>
  </w:num>
  <w:num w:numId="4">
    <w:abstractNumId w:val="0"/>
  </w:num>
  <w:num w:numId="5">
    <w:abstractNumId w:val="4"/>
  </w:num>
  <w:num w:numId="6">
    <w:abstractNumId w:val="2"/>
  </w:num>
  <w:num w:numId="7">
    <w:abstractNumId w:val="1"/>
  </w:num>
  <w:num w:numId="8">
    <w:abstractNumId w:val="6"/>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0000457E"/>
    <w:rsid w:val="00005CA4"/>
    <w:rsid w:val="000107BC"/>
    <w:rsid w:val="00013090"/>
    <w:rsid w:val="00016837"/>
    <w:rsid w:val="00021331"/>
    <w:rsid w:val="00023119"/>
    <w:rsid w:val="00023FE2"/>
    <w:rsid w:val="00024212"/>
    <w:rsid w:val="00024664"/>
    <w:rsid w:val="00032CD6"/>
    <w:rsid w:val="00033257"/>
    <w:rsid w:val="00034233"/>
    <w:rsid w:val="00034BDB"/>
    <w:rsid w:val="00047D7B"/>
    <w:rsid w:val="00053B0B"/>
    <w:rsid w:val="000576D0"/>
    <w:rsid w:val="00057758"/>
    <w:rsid w:val="00060FE2"/>
    <w:rsid w:val="0007330D"/>
    <w:rsid w:val="00073F72"/>
    <w:rsid w:val="00074EB1"/>
    <w:rsid w:val="00076BBA"/>
    <w:rsid w:val="00080F2F"/>
    <w:rsid w:val="0008145A"/>
    <w:rsid w:val="0009177A"/>
    <w:rsid w:val="00093E74"/>
    <w:rsid w:val="000962F6"/>
    <w:rsid w:val="000A0201"/>
    <w:rsid w:val="000A1EAE"/>
    <w:rsid w:val="000A3070"/>
    <w:rsid w:val="000A4601"/>
    <w:rsid w:val="000A77CD"/>
    <w:rsid w:val="000B572A"/>
    <w:rsid w:val="000D0ACE"/>
    <w:rsid w:val="000D15BE"/>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6CA6"/>
    <w:rsid w:val="001273E7"/>
    <w:rsid w:val="00127EB0"/>
    <w:rsid w:val="00131B03"/>
    <w:rsid w:val="00132C5F"/>
    <w:rsid w:val="00133786"/>
    <w:rsid w:val="00134DD4"/>
    <w:rsid w:val="001435D3"/>
    <w:rsid w:val="001449B5"/>
    <w:rsid w:val="001463AC"/>
    <w:rsid w:val="0015152A"/>
    <w:rsid w:val="00156020"/>
    <w:rsid w:val="00156663"/>
    <w:rsid w:val="001611BB"/>
    <w:rsid w:val="00167167"/>
    <w:rsid w:val="001708F8"/>
    <w:rsid w:val="0018112C"/>
    <w:rsid w:val="00183467"/>
    <w:rsid w:val="00190A64"/>
    <w:rsid w:val="00190C6A"/>
    <w:rsid w:val="00191774"/>
    <w:rsid w:val="00191DCE"/>
    <w:rsid w:val="001923CF"/>
    <w:rsid w:val="001925FD"/>
    <w:rsid w:val="001930A1"/>
    <w:rsid w:val="00194FE3"/>
    <w:rsid w:val="00196054"/>
    <w:rsid w:val="0019711F"/>
    <w:rsid w:val="001A0DBF"/>
    <w:rsid w:val="001A3402"/>
    <w:rsid w:val="001B0E92"/>
    <w:rsid w:val="001B36E5"/>
    <w:rsid w:val="001B3B17"/>
    <w:rsid w:val="001C5F01"/>
    <w:rsid w:val="001C793C"/>
    <w:rsid w:val="001D22F0"/>
    <w:rsid w:val="001D64DB"/>
    <w:rsid w:val="001D7816"/>
    <w:rsid w:val="001E5000"/>
    <w:rsid w:val="001F07A8"/>
    <w:rsid w:val="001F16E6"/>
    <w:rsid w:val="001F241E"/>
    <w:rsid w:val="001F537A"/>
    <w:rsid w:val="001F660A"/>
    <w:rsid w:val="001F79F5"/>
    <w:rsid w:val="001F7E35"/>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26F3"/>
    <w:rsid w:val="00254F7A"/>
    <w:rsid w:val="00256FE0"/>
    <w:rsid w:val="002614C6"/>
    <w:rsid w:val="002621E1"/>
    <w:rsid w:val="00262753"/>
    <w:rsid w:val="00262771"/>
    <w:rsid w:val="00262F6C"/>
    <w:rsid w:val="00264A7D"/>
    <w:rsid w:val="00264CE4"/>
    <w:rsid w:val="002651A9"/>
    <w:rsid w:val="00266090"/>
    <w:rsid w:val="0027235B"/>
    <w:rsid w:val="00283085"/>
    <w:rsid w:val="00283E25"/>
    <w:rsid w:val="0029084D"/>
    <w:rsid w:val="00291D7F"/>
    <w:rsid w:val="00291EF3"/>
    <w:rsid w:val="002952AC"/>
    <w:rsid w:val="002A2FCF"/>
    <w:rsid w:val="002A4D06"/>
    <w:rsid w:val="002A5D80"/>
    <w:rsid w:val="002B07E3"/>
    <w:rsid w:val="002B23AB"/>
    <w:rsid w:val="002B2E35"/>
    <w:rsid w:val="002B3D69"/>
    <w:rsid w:val="002B5497"/>
    <w:rsid w:val="002C1D2A"/>
    <w:rsid w:val="002C4FFB"/>
    <w:rsid w:val="002C5534"/>
    <w:rsid w:val="002C611B"/>
    <w:rsid w:val="002C73B6"/>
    <w:rsid w:val="002D49CC"/>
    <w:rsid w:val="002D6D1E"/>
    <w:rsid w:val="002E073F"/>
    <w:rsid w:val="002E7467"/>
    <w:rsid w:val="002E7A35"/>
    <w:rsid w:val="002F34AA"/>
    <w:rsid w:val="002F4B59"/>
    <w:rsid w:val="002F4D7B"/>
    <w:rsid w:val="002F513F"/>
    <w:rsid w:val="002F613B"/>
    <w:rsid w:val="003025DF"/>
    <w:rsid w:val="00303E23"/>
    <w:rsid w:val="00304BFD"/>
    <w:rsid w:val="00306925"/>
    <w:rsid w:val="0031011D"/>
    <w:rsid w:val="003144B8"/>
    <w:rsid w:val="00314640"/>
    <w:rsid w:val="00327623"/>
    <w:rsid w:val="0033375C"/>
    <w:rsid w:val="0034090F"/>
    <w:rsid w:val="00343C24"/>
    <w:rsid w:val="00345BCC"/>
    <w:rsid w:val="00353735"/>
    <w:rsid w:val="00354D06"/>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2D01"/>
    <w:rsid w:val="00386647"/>
    <w:rsid w:val="00391984"/>
    <w:rsid w:val="00392E22"/>
    <w:rsid w:val="00396025"/>
    <w:rsid w:val="003B2F32"/>
    <w:rsid w:val="003B5050"/>
    <w:rsid w:val="003B729F"/>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50BE"/>
    <w:rsid w:val="0040610D"/>
    <w:rsid w:val="00406A80"/>
    <w:rsid w:val="0042062E"/>
    <w:rsid w:val="00424AF1"/>
    <w:rsid w:val="00424FCB"/>
    <w:rsid w:val="00425860"/>
    <w:rsid w:val="00427B81"/>
    <w:rsid w:val="00434E46"/>
    <w:rsid w:val="00434F90"/>
    <w:rsid w:val="004378E4"/>
    <w:rsid w:val="0044118D"/>
    <w:rsid w:val="004441BD"/>
    <w:rsid w:val="004503F4"/>
    <w:rsid w:val="0045483D"/>
    <w:rsid w:val="00455661"/>
    <w:rsid w:val="0046025A"/>
    <w:rsid w:val="00460359"/>
    <w:rsid w:val="004605D8"/>
    <w:rsid w:val="004626AF"/>
    <w:rsid w:val="00465230"/>
    <w:rsid w:val="00467DEF"/>
    <w:rsid w:val="004715D8"/>
    <w:rsid w:val="004805D0"/>
    <w:rsid w:val="00480BA1"/>
    <w:rsid w:val="004814A9"/>
    <w:rsid w:val="0048357F"/>
    <w:rsid w:val="00484EF3"/>
    <w:rsid w:val="00485212"/>
    <w:rsid w:val="004865C9"/>
    <w:rsid w:val="0049011A"/>
    <w:rsid w:val="00491FE3"/>
    <w:rsid w:val="0049241F"/>
    <w:rsid w:val="0049390C"/>
    <w:rsid w:val="004A25C4"/>
    <w:rsid w:val="004A2878"/>
    <w:rsid w:val="004A614E"/>
    <w:rsid w:val="004A660C"/>
    <w:rsid w:val="004A76AB"/>
    <w:rsid w:val="004B2E7F"/>
    <w:rsid w:val="004C4136"/>
    <w:rsid w:val="004D155D"/>
    <w:rsid w:val="004D2302"/>
    <w:rsid w:val="004D5B22"/>
    <w:rsid w:val="004E3026"/>
    <w:rsid w:val="004F0593"/>
    <w:rsid w:val="004F48C2"/>
    <w:rsid w:val="004F74F0"/>
    <w:rsid w:val="004F7FA9"/>
    <w:rsid w:val="005009D1"/>
    <w:rsid w:val="0050156A"/>
    <w:rsid w:val="00505469"/>
    <w:rsid w:val="005066ED"/>
    <w:rsid w:val="005067C2"/>
    <w:rsid w:val="0051028F"/>
    <w:rsid w:val="0051148B"/>
    <w:rsid w:val="00513080"/>
    <w:rsid w:val="00514C97"/>
    <w:rsid w:val="005159F5"/>
    <w:rsid w:val="00526200"/>
    <w:rsid w:val="005269CF"/>
    <w:rsid w:val="00533886"/>
    <w:rsid w:val="0053418A"/>
    <w:rsid w:val="00535AC6"/>
    <w:rsid w:val="00537550"/>
    <w:rsid w:val="0054317B"/>
    <w:rsid w:val="00546DEA"/>
    <w:rsid w:val="00563274"/>
    <w:rsid w:val="005639F8"/>
    <w:rsid w:val="005656AA"/>
    <w:rsid w:val="005742DB"/>
    <w:rsid w:val="00577C08"/>
    <w:rsid w:val="005802BD"/>
    <w:rsid w:val="0058151C"/>
    <w:rsid w:val="00581CE7"/>
    <w:rsid w:val="00582F5C"/>
    <w:rsid w:val="0058472C"/>
    <w:rsid w:val="005870E5"/>
    <w:rsid w:val="005873D6"/>
    <w:rsid w:val="005876DE"/>
    <w:rsid w:val="00596702"/>
    <w:rsid w:val="005A1A17"/>
    <w:rsid w:val="005A4523"/>
    <w:rsid w:val="005A4707"/>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36D9"/>
    <w:rsid w:val="005F4F92"/>
    <w:rsid w:val="005F6C71"/>
    <w:rsid w:val="005F71EC"/>
    <w:rsid w:val="005F7613"/>
    <w:rsid w:val="006062AE"/>
    <w:rsid w:val="0060656D"/>
    <w:rsid w:val="00606B5A"/>
    <w:rsid w:val="00610884"/>
    <w:rsid w:val="00614347"/>
    <w:rsid w:val="006147DA"/>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45D3"/>
    <w:rsid w:val="006A1BD7"/>
    <w:rsid w:val="006A3112"/>
    <w:rsid w:val="006B1080"/>
    <w:rsid w:val="006B6EA3"/>
    <w:rsid w:val="006C0CC1"/>
    <w:rsid w:val="006C6B87"/>
    <w:rsid w:val="006C70ED"/>
    <w:rsid w:val="006D4B56"/>
    <w:rsid w:val="006D4CCC"/>
    <w:rsid w:val="006D5D5F"/>
    <w:rsid w:val="006E155C"/>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AAE"/>
    <w:rsid w:val="0072448B"/>
    <w:rsid w:val="007245EF"/>
    <w:rsid w:val="00726016"/>
    <w:rsid w:val="00726F82"/>
    <w:rsid w:val="007432F4"/>
    <w:rsid w:val="0075401E"/>
    <w:rsid w:val="00755471"/>
    <w:rsid w:val="007556A8"/>
    <w:rsid w:val="00756686"/>
    <w:rsid w:val="00760DDA"/>
    <w:rsid w:val="00760FBD"/>
    <w:rsid w:val="007768A2"/>
    <w:rsid w:val="00776FE6"/>
    <w:rsid w:val="007812EA"/>
    <w:rsid w:val="00781F1A"/>
    <w:rsid w:val="00782C84"/>
    <w:rsid w:val="00784D8F"/>
    <w:rsid w:val="007912E9"/>
    <w:rsid w:val="007923BD"/>
    <w:rsid w:val="00793820"/>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356"/>
    <w:rsid w:val="007D520B"/>
    <w:rsid w:val="007D5225"/>
    <w:rsid w:val="007D6192"/>
    <w:rsid w:val="007D646F"/>
    <w:rsid w:val="007E0035"/>
    <w:rsid w:val="007F05BA"/>
    <w:rsid w:val="007F1688"/>
    <w:rsid w:val="007F17C2"/>
    <w:rsid w:val="007F3051"/>
    <w:rsid w:val="007F445F"/>
    <w:rsid w:val="007F69C4"/>
    <w:rsid w:val="00800158"/>
    <w:rsid w:val="00800C49"/>
    <w:rsid w:val="00805B1A"/>
    <w:rsid w:val="00812666"/>
    <w:rsid w:val="00816354"/>
    <w:rsid w:val="00825BEF"/>
    <w:rsid w:val="008275DE"/>
    <w:rsid w:val="0083025F"/>
    <w:rsid w:val="00831A4E"/>
    <w:rsid w:val="00834158"/>
    <w:rsid w:val="00834F29"/>
    <w:rsid w:val="00837133"/>
    <w:rsid w:val="00841FDD"/>
    <w:rsid w:val="00843099"/>
    <w:rsid w:val="00844A63"/>
    <w:rsid w:val="00845B6B"/>
    <w:rsid w:val="0085555C"/>
    <w:rsid w:val="0085722C"/>
    <w:rsid w:val="00860076"/>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6562"/>
    <w:rsid w:val="008B7C56"/>
    <w:rsid w:val="008C1BE0"/>
    <w:rsid w:val="008C5328"/>
    <w:rsid w:val="008C6844"/>
    <w:rsid w:val="008D1502"/>
    <w:rsid w:val="008D2E6B"/>
    <w:rsid w:val="008D3059"/>
    <w:rsid w:val="008D44E2"/>
    <w:rsid w:val="008D5C1F"/>
    <w:rsid w:val="008D612C"/>
    <w:rsid w:val="008E0C90"/>
    <w:rsid w:val="008E340A"/>
    <w:rsid w:val="008F024A"/>
    <w:rsid w:val="008F4CD3"/>
    <w:rsid w:val="008F62FB"/>
    <w:rsid w:val="00900B1D"/>
    <w:rsid w:val="00901C67"/>
    <w:rsid w:val="009058DF"/>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4176"/>
    <w:rsid w:val="0094724D"/>
    <w:rsid w:val="009510ED"/>
    <w:rsid w:val="00954E13"/>
    <w:rsid w:val="00955098"/>
    <w:rsid w:val="00962A6D"/>
    <w:rsid w:val="009642C6"/>
    <w:rsid w:val="0096452B"/>
    <w:rsid w:val="00975377"/>
    <w:rsid w:val="0097752F"/>
    <w:rsid w:val="00980E2D"/>
    <w:rsid w:val="00981308"/>
    <w:rsid w:val="00983CDC"/>
    <w:rsid w:val="00983E62"/>
    <w:rsid w:val="00984743"/>
    <w:rsid w:val="00985D99"/>
    <w:rsid w:val="00987A4E"/>
    <w:rsid w:val="00987C57"/>
    <w:rsid w:val="0099188F"/>
    <w:rsid w:val="00993328"/>
    <w:rsid w:val="00995822"/>
    <w:rsid w:val="00997A44"/>
    <w:rsid w:val="009A1FC7"/>
    <w:rsid w:val="009A7254"/>
    <w:rsid w:val="009B2BF4"/>
    <w:rsid w:val="009B52A3"/>
    <w:rsid w:val="009B53BA"/>
    <w:rsid w:val="009B609B"/>
    <w:rsid w:val="009B6F4E"/>
    <w:rsid w:val="009B6FA5"/>
    <w:rsid w:val="009B74CD"/>
    <w:rsid w:val="009D1F6F"/>
    <w:rsid w:val="009D38DB"/>
    <w:rsid w:val="009D3D0A"/>
    <w:rsid w:val="009D628E"/>
    <w:rsid w:val="009D62DE"/>
    <w:rsid w:val="009E1F06"/>
    <w:rsid w:val="009E5DEF"/>
    <w:rsid w:val="009E6B6B"/>
    <w:rsid w:val="009F3B36"/>
    <w:rsid w:val="009F79E3"/>
    <w:rsid w:val="00A01A52"/>
    <w:rsid w:val="00A02A0A"/>
    <w:rsid w:val="00A04717"/>
    <w:rsid w:val="00A04E49"/>
    <w:rsid w:val="00A10236"/>
    <w:rsid w:val="00A10B7E"/>
    <w:rsid w:val="00A11E9D"/>
    <w:rsid w:val="00A1598C"/>
    <w:rsid w:val="00A15EDE"/>
    <w:rsid w:val="00A163CB"/>
    <w:rsid w:val="00A24789"/>
    <w:rsid w:val="00A25268"/>
    <w:rsid w:val="00A34924"/>
    <w:rsid w:val="00A35F3F"/>
    <w:rsid w:val="00A40234"/>
    <w:rsid w:val="00A4496C"/>
    <w:rsid w:val="00A51BDA"/>
    <w:rsid w:val="00A52FED"/>
    <w:rsid w:val="00A547EA"/>
    <w:rsid w:val="00A54EE3"/>
    <w:rsid w:val="00A60040"/>
    <w:rsid w:val="00A61125"/>
    <w:rsid w:val="00A64033"/>
    <w:rsid w:val="00A65635"/>
    <w:rsid w:val="00A66230"/>
    <w:rsid w:val="00A66B33"/>
    <w:rsid w:val="00A706DE"/>
    <w:rsid w:val="00A70BEA"/>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56BA"/>
    <w:rsid w:val="00AE5941"/>
    <w:rsid w:val="00AE7E72"/>
    <w:rsid w:val="00AF00B0"/>
    <w:rsid w:val="00AF0B6E"/>
    <w:rsid w:val="00AF0C1B"/>
    <w:rsid w:val="00AF1152"/>
    <w:rsid w:val="00AF20DE"/>
    <w:rsid w:val="00AF2C7E"/>
    <w:rsid w:val="00AF337C"/>
    <w:rsid w:val="00AF365B"/>
    <w:rsid w:val="00AF3BC9"/>
    <w:rsid w:val="00B0152E"/>
    <w:rsid w:val="00B06F77"/>
    <w:rsid w:val="00B17EA4"/>
    <w:rsid w:val="00B2401D"/>
    <w:rsid w:val="00B271E2"/>
    <w:rsid w:val="00B27F1E"/>
    <w:rsid w:val="00B320E0"/>
    <w:rsid w:val="00B32D83"/>
    <w:rsid w:val="00B35A2B"/>
    <w:rsid w:val="00B44C87"/>
    <w:rsid w:val="00B47772"/>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73B1"/>
    <w:rsid w:val="00B91C42"/>
    <w:rsid w:val="00BB0ED6"/>
    <w:rsid w:val="00BB1C0A"/>
    <w:rsid w:val="00BB4376"/>
    <w:rsid w:val="00BB4A45"/>
    <w:rsid w:val="00BB4B74"/>
    <w:rsid w:val="00BB6FED"/>
    <w:rsid w:val="00BC41B2"/>
    <w:rsid w:val="00BC45B6"/>
    <w:rsid w:val="00BC4F9E"/>
    <w:rsid w:val="00BE0799"/>
    <w:rsid w:val="00BE26D9"/>
    <w:rsid w:val="00BF1119"/>
    <w:rsid w:val="00BF5510"/>
    <w:rsid w:val="00C00C31"/>
    <w:rsid w:val="00C070A2"/>
    <w:rsid w:val="00C10D37"/>
    <w:rsid w:val="00C13A0F"/>
    <w:rsid w:val="00C14C4A"/>
    <w:rsid w:val="00C17E66"/>
    <w:rsid w:val="00C22482"/>
    <w:rsid w:val="00C242A9"/>
    <w:rsid w:val="00C24D87"/>
    <w:rsid w:val="00C3032A"/>
    <w:rsid w:val="00C31C6D"/>
    <w:rsid w:val="00C31FF2"/>
    <w:rsid w:val="00C33C36"/>
    <w:rsid w:val="00C34E53"/>
    <w:rsid w:val="00C37264"/>
    <w:rsid w:val="00C408D1"/>
    <w:rsid w:val="00C44645"/>
    <w:rsid w:val="00C50A3F"/>
    <w:rsid w:val="00C51474"/>
    <w:rsid w:val="00C51847"/>
    <w:rsid w:val="00C55C36"/>
    <w:rsid w:val="00C61072"/>
    <w:rsid w:val="00C6137D"/>
    <w:rsid w:val="00C61540"/>
    <w:rsid w:val="00C61B0C"/>
    <w:rsid w:val="00C634E4"/>
    <w:rsid w:val="00C67D4C"/>
    <w:rsid w:val="00C706FA"/>
    <w:rsid w:val="00C808FE"/>
    <w:rsid w:val="00C81D18"/>
    <w:rsid w:val="00C82258"/>
    <w:rsid w:val="00C82744"/>
    <w:rsid w:val="00C836D9"/>
    <w:rsid w:val="00C84109"/>
    <w:rsid w:val="00C843F0"/>
    <w:rsid w:val="00C85F66"/>
    <w:rsid w:val="00C95F0B"/>
    <w:rsid w:val="00CA0CFD"/>
    <w:rsid w:val="00CA37C8"/>
    <w:rsid w:val="00CA5047"/>
    <w:rsid w:val="00CA7C2A"/>
    <w:rsid w:val="00CC1221"/>
    <w:rsid w:val="00CC4EE7"/>
    <w:rsid w:val="00CD4CC6"/>
    <w:rsid w:val="00CD5C22"/>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41F8D"/>
    <w:rsid w:val="00D451AB"/>
    <w:rsid w:val="00D50991"/>
    <w:rsid w:val="00D578AF"/>
    <w:rsid w:val="00D61DA0"/>
    <w:rsid w:val="00D65D7A"/>
    <w:rsid w:val="00D6793A"/>
    <w:rsid w:val="00D7347C"/>
    <w:rsid w:val="00D74D7F"/>
    <w:rsid w:val="00D75348"/>
    <w:rsid w:val="00D80F6F"/>
    <w:rsid w:val="00D820E3"/>
    <w:rsid w:val="00D9342C"/>
    <w:rsid w:val="00D944CB"/>
    <w:rsid w:val="00DA326B"/>
    <w:rsid w:val="00DA3BCE"/>
    <w:rsid w:val="00DA59FA"/>
    <w:rsid w:val="00DB1157"/>
    <w:rsid w:val="00DB295F"/>
    <w:rsid w:val="00DB29E4"/>
    <w:rsid w:val="00DB3826"/>
    <w:rsid w:val="00DB47DC"/>
    <w:rsid w:val="00DB74F2"/>
    <w:rsid w:val="00DC205C"/>
    <w:rsid w:val="00DC5687"/>
    <w:rsid w:val="00DC6575"/>
    <w:rsid w:val="00DC7A5D"/>
    <w:rsid w:val="00DD00EF"/>
    <w:rsid w:val="00DD1CF8"/>
    <w:rsid w:val="00DD6102"/>
    <w:rsid w:val="00DD71F1"/>
    <w:rsid w:val="00DE00C5"/>
    <w:rsid w:val="00DE3FB5"/>
    <w:rsid w:val="00DF2749"/>
    <w:rsid w:val="00DF60A6"/>
    <w:rsid w:val="00E00D0A"/>
    <w:rsid w:val="00E05B5A"/>
    <w:rsid w:val="00E05F1B"/>
    <w:rsid w:val="00E07B93"/>
    <w:rsid w:val="00E07E15"/>
    <w:rsid w:val="00E1354A"/>
    <w:rsid w:val="00E161F8"/>
    <w:rsid w:val="00E26EE5"/>
    <w:rsid w:val="00E32815"/>
    <w:rsid w:val="00E33554"/>
    <w:rsid w:val="00E40596"/>
    <w:rsid w:val="00E40BA9"/>
    <w:rsid w:val="00E41B77"/>
    <w:rsid w:val="00E45EC3"/>
    <w:rsid w:val="00E47C4F"/>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D2F39"/>
    <w:rsid w:val="00ED30F4"/>
    <w:rsid w:val="00ED43BB"/>
    <w:rsid w:val="00ED449A"/>
    <w:rsid w:val="00ED68E9"/>
    <w:rsid w:val="00EE1FC2"/>
    <w:rsid w:val="00EF670C"/>
    <w:rsid w:val="00F11F09"/>
    <w:rsid w:val="00F1455B"/>
    <w:rsid w:val="00F16D36"/>
    <w:rsid w:val="00F210FD"/>
    <w:rsid w:val="00F250D2"/>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6618"/>
    <w:rsid w:val="00F76E42"/>
    <w:rsid w:val="00F81D1B"/>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C037E"/>
    <w:rsid w:val="00FC19B9"/>
    <w:rsid w:val="00FC4DE3"/>
    <w:rsid w:val="00FC6716"/>
    <w:rsid w:val="00FD00A5"/>
    <w:rsid w:val="00FD4B0F"/>
    <w:rsid w:val="00FE0661"/>
    <w:rsid w:val="00FF0C09"/>
    <w:rsid w:val="00FF1DD7"/>
    <w:rsid w:val="00FF3775"/>
    <w:rsid w:val="01CE5D1C"/>
    <w:rsid w:val="03925DC8"/>
    <w:rsid w:val="039E595D"/>
    <w:rsid w:val="05DB085A"/>
    <w:rsid w:val="068C3E93"/>
    <w:rsid w:val="070F07F6"/>
    <w:rsid w:val="08083403"/>
    <w:rsid w:val="08A059D4"/>
    <w:rsid w:val="09BE5E2A"/>
    <w:rsid w:val="0A091F73"/>
    <w:rsid w:val="0A8504E9"/>
    <w:rsid w:val="0D92619C"/>
    <w:rsid w:val="0E012A71"/>
    <w:rsid w:val="0E4C5F96"/>
    <w:rsid w:val="0EB020D5"/>
    <w:rsid w:val="0F412CA9"/>
    <w:rsid w:val="0F4F5A5E"/>
    <w:rsid w:val="0F501F02"/>
    <w:rsid w:val="0FA1275E"/>
    <w:rsid w:val="0FD566D2"/>
    <w:rsid w:val="107240FA"/>
    <w:rsid w:val="10FE598E"/>
    <w:rsid w:val="12F353C2"/>
    <w:rsid w:val="13B2170D"/>
    <w:rsid w:val="13B97480"/>
    <w:rsid w:val="14034EB5"/>
    <w:rsid w:val="14870494"/>
    <w:rsid w:val="15085E8C"/>
    <w:rsid w:val="15174F60"/>
    <w:rsid w:val="1556095A"/>
    <w:rsid w:val="167D7F24"/>
    <w:rsid w:val="16E3540A"/>
    <w:rsid w:val="16F2564D"/>
    <w:rsid w:val="17306AB5"/>
    <w:rsid w:val="17373F64"/>
    <w:rsid w:val="18047D2E"/>
    <w:rsid w:val="191C10A7"/>
    <w:rsid w:val="195C5947"/>
    <w:rsid w:val="19A054D6"/>
    <w:rsid w:val="19C808E7"/>
    <w:rsid w:val="1AAD2820"/>
    <w:rsid w:val="1AB377E9"/>
    <w:rsid w:val="1B0717C8"/>
    <w:rsid w:val="1BCB46BE"/>
    <w:rsid w:val="1BE33681"/>
    <w:rsid w:val="1D0E0D07"/>
    <w:rsid w:val="1D8A2A83"/>
    <w:rsid w:val="1DC046F7"/>
    <w:rsid w:val="1E71154D"/>
    <w:rsid w:val="202A22FB"/>
    <w:rsid w:val="20653288"/>
    <w:rsid w:val="21862EC6"/>
    <w:rsid w:val="22541024"/>
    <w:rsid w:val="237A2B2A"/>
    <w:rsid w:val="251F61A7"/>
    <w:rsid w:val="256911D0"/>
    <w:rsid w:val="25D214DF"/>
    <w:rsid w:val="2808223A"/>
    <w:rsid w:val="294F4273"/>
    <w:rsid w:val="2B797C93"/>
    <w:rsid w:val="2C4F36F5"/>
    <w:rsid w:val="2CF60F59"/>
    <w:rsid w:val="2D5F22BD"/>
    <w:rsid w:val="2D7E652C"/>
    <w:rsid w:val="2E5F5866"/>
    <w:rsid w:val="2FF37D11"/>
    <w:rsid w:val="3013049D"/>
    <w:rsid w:val="30457642"/>
    <w:rsid w:val="30B26121"/>
    <w:rsid w:val="3122642C"/>
    <w:rsid w:val="312318B9"/>
    <w:rsid w:val="332C3D99"/>
    <w:rsid w:val="35935DF5"/>
    <w:rsid w:val="365875C5"/>
    <w:rsid w:val="365D6B2F"/>
    <w:rsid w:val="378B76CC"/>
    <w:rsid w:val="39356049"/>
    <w:rsid w:val="3B4E60E4"/>
    <w:rsid w:val="3B903503"/>
    <w:rsid w:val="3BFE2074"/>
    <w:rsid w:val="3D9D5A63"/>
    <w:rsid w:val="3F2C214D"/>
    <w:rsid w:val="3F5C54AA"/>
    <w:rsid w:val="3F8C7277"/>
    <w:rsid w:val="3FA0222F"/>
    <w:rsid w:val="3FA05CDE"/>
    <w:rsid w:val="411346A4"/>
    <w:rsid w:val="41BC1DE0"/>
    <w:rsid w:val="42D769B6"/>
    <w:rsid w:val="42F26851"/>
    <w:rsid w:val="44000AFA"/>
    <w:rsid w:val="44BA15F0"/>
    <w:rsid w:val="44F600D3"/>
    <w:rsid w:val="453B44DF"/>
    <w:rsid w:val="45594965"/>
    <w:rsid w:val="45617704"/>
    <w:rsid w:val="47356D0C"/>
    <w:rsid w:val="48B048DB"/>
    <w:rsid w:val="490948F4"/>
    <w:rsid w:val="4B8C0594"/>
    <w:rsid w:val="4BB23021"/>
    <w:rsid w:val="4C0F7B1B"/>
    <w:rsid w:val="4CFE380A"/>
    <w:rsid w:val="4D862B8C"/>
    <w:rsid w:val="4DFF35F5"/>
    <w:rsid w:val="4EF47599"/>
    <w:rsid w:val="4FE3578A"/>
    <w:rsid w:val="51FA74D0"/>
    <w:rsid w:val="54E94B5B"/>
    <w:rsid w:val="55661639"/>
    <w:rsid w:val="55761622"/>
    <w:rsid w:val="58A138EB"/>
    <w:rsid w:val="59DD74BB"/>
    <w:rsid w:val="5B2916BE"/>
    <w:rsid w:val="5BD857FA"/>
    <w:rsid w:val="5C080481"/>
    <w:rsid w:val="5D0C00B7"/>
    <w:rsid w:val="5E202145"/>
    <w:rsid w:val="5E5D0BCB"/>
    <w:rsid w:val="5E9F5687"/>
    <w:rsid w:val="5F621BCD"/>
    <w:rsid w:val="60275934"/>
    <w:rsid w:val="6031647B"/>
    <w:rsid w:val="60F56782"/>
    <w:rsid w:val="61926DDD"/>
    <w:rsid w:val="61963763"/>
    <w:rsid w:val="6198016C"/>
    <w:rsid w:val="626F16E1"/>
    <w:rsid w:val="62DD5694"/>
    <w:rsid w:val="62F74A7A"/>
    <w:rsid w:val="635D3311"/>
    <w:rsid w:val="6648068F"/>
    <w:rsid w:val="668E2223"/>
    <w:rsid w:val="67256946"/>
    <w:rsid w:val="683026D9"/>
    <w:rsid w:val="689A6DDC"/>
    <w:rsid w:val="693F388B"/>
    <w:rsid w:val="6AEB3708"/>
    <w:rsid w:val="6B215608"/>
    <w:rsid w:val="6B39079F"/>
    <w:rsid w:val="6B5A32B0"/>
    <w:rsid w:val="6BB248D0"/>
    <w:rsid w:val="6DBA21A1"/>
    <w:rsid w:val="6F082DD5"/>
    <w:rsid w:val="6F347726"/>
    <w:rsid w:val="70C04FE9"/>
    <w:rsid w:val="71AA1F21"/>
    <w:rsid w:val="73731F46"/>
    <w:rsid w:val="738642C8"/>
    <w:rsid w:val="774A385E"/>
    <w:rsid w:val="78034139"/>
    <w:rsid w:val="78AF3D07"/>
    <w:rsid w:val="791D122B"/>
    <w:rsid w:val="7930196F"/>
    <w:rsid w:val="793A6280"/>
    <w:rsid w:val="7AF5051C"/>
    <w:rsid w:val="7B9A1258"/>
    <w:rsid w:val="7BBA680A"/>
    <w:rsid w:val="7BE826AE"/>
    <w:rsid w:val="7C1E3C37"/>
    <w:rsid w:val="7CCF532E"/>
    <w:rsid w:val="7E00338F"/>
    <w:rsid w:val="7E0E55E6"/>
    <w:rsid w:val="7E837D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35"/>
    <w:semiHidden/>
    <w:unhideWhenUsed/>
    <w:qFormat/>
    <w:uiPriority w:val="0"/>
    <w:rPr>
      <w:sz w:val="18"/>
      <w:szCs w:val="18"/>
    </w:rPr>
  </w:style>
  <w:style w:type="paragraph" w:styleId="3">
    <w:name w:val="footer"/>
    <w:basedOn w:val="1"/>
    <w:link w:val="27"/>
    <w:qFormat/>
    <w:uiPriority w:val="99"/>
    <w:pPr>
      <w:tabs>
        <w:tab w:val="center" w:pos="4153"/>
        <w:tab w:val="right" w:pos="8306"/>
      </w:tabs>
      <w:snapToGrid w:val="0"/>
      <w:jc w:val="left"/>
    </w:pPr>
    <w:rPr>
      <w:sz w:val="18"/>
      <w:szCs w:val="18"/>
    </w:rPr>
  </w:style>
  <w:style w:type="paragraph" w:styleId="4">
    <w:name w:val="header"/>
    <w:basedOn w:val="1"/>
    <w:link w:val="26"/>
    <w:qFormat/>
    <w:uiPriority w:val="0"/>
    <w:pPr>
      <w:pBdr>
        <w:bottom w:val="single" w:color="auto" w:sz="6" w:space="1"/>
      </w:pBdr>
      <w:tabs>
        <w:tab w:val="center" w:pos="4153"/>
        <w:tab w:val="right" w:pos="8306"/>
      </w:tabs>
      <w:snapToGrid w:val="0"/>
      <w:jc w:val="center"/>
    </w:pPr>
    <w:rPr>
      <w:sz w:val="18"/>
      <w:szCs w:val="18"/>
    </w:rPr>
  </w:style>
  <w:style w:type="paragraph" w:styleId="5">
    <w:name w:val="Normal (Web)"/>
    <w:basedOn w:val="1"/>
    <w:qFormat/>
    <w:uiPriority w:val="99"/>
    <w:pPr>
      <w:spacing w:before="100" w:beforeAutospacing="1" w:after="100" w:afterAutospacing="1"/>
      <w:jc w:val="left"/>
    </w:pPr>
    <w:rPr>
      <w:kern w:val="0"/>
      <w:sz w:val="24"/>
    </w:rPr>
  </w:style>
  <w:style w:type="table" w:styleId="7">
    <w:name w:val="Table Grid"/>
    <w:basedOn w:val="6"/>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
    <w:name w:val="Hyperlink"/>
    <w:basedOn w:val="8"/>
    <w:unhideWhenUsed/>
    <w:qFormat/>
    <w:uiPriority w:val="99"/>
    <w:rPr>
      <w:color w:val="0000FF"/>
      <w:u w:val="single"/>
    </w:rPr>
  </w:style>
  <w:style w:type="paragraph" w:customStyle="1" w:styleId="10">
    <w:name w:val="段"/>
    <w:link w:val="25"/>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1">
    <w:name w:val="正文表标题"/>
    <w:next w:val="10"/>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2">
    <w:name w:val="正文图标题"/>
    <w:next w:val="10"/>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3">
    <w:name w:val="其他发布日期"/>
    <w:basedOn w:val="1"/>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14">
    <w:name w:val="一级条标题"/>
    <w:next w:val="10"/>
    <w:qFormat/>
    <w:uiPriority w:val="0"/>
    <w:pPr>
      <w:numPr>
        <w:ilvl w:val="1"/>
        <w:numId w:val="3"/>
      </w:numPr>
      <w:spacing w:beforeLines="50" w:afterLines="50"/>
      <w:outlineLvl w:val="2"/>
    </w:pPr>
    <w:rPr>
      <w:rFonts w:ascii="黑体" w:hAnsi="Times New Roman" w:eastAsia="黑体" w:cs="Times New Roman"/>
      <w:sz w:val="21"/>
      <w:szCs w:val="21"/>
      <w:lang w:val="en-US" w:eastAsia="zh-CN" w:bidi="ar-SA"/>
    </w:rPr>
  </w:style>
  <w:style w:type="paragraph" w:customStyle="1" w:styleId="15">
    <w:name w:val="章标题"/>
    <w:next w:val="10"/>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16">
    <w:name w:val="二级条标题"/>
    <w:basedOn w:val="14"/>
    <w:next w:val="10"/>
    <w:qFormat/>
    <w:uiPriority w:val="0"/>
    <w:pPr>
      <w:numPr>
        <w:ilvl w:val="2"/>
      </w:numPr>
      <w:spacing w:before="50" w:after="50"/>
      <w:outlineLvl w:val="3"/>
    </w:pPr>
  </w:style>
  <w:style w:type="paragraph" w:customStyle="1" w:styleId="17">
    <w:name w:val="三级条标题"/>
    <w:basedOn w:val="16"/>
    <w:next w:val="10"/>
    <w:qFormat/>
    <w:uiPriority w:val="0"/>
    <w:pPr>
      <w:numPr>
        <w:ilvl w:val="3"/>
      </w:numPr>
      <w:outlineLvl w:val="4"/>
    </w:pPr>
  </w:style>
  <w:style w:type="paragraph" w:customStyle="1" w:styleId="18">
    <w:name w:val="四级条标题"/>
    <w:basedOn w:val="17"/>
    <w:next w:val="10"/>
    <w:qFormat/>
    <w:uiPriority w:val="0"/>
    <w:pPr>
      <w:numPr>
        <w:ilvl w:val="4"/>
      </w:numPr>
      <w:outlineLvl w:val="5"/>
    </w:pPr>
  </w:style>
  <w:style w:type="paragraph" w:customStyle="1" w:styleId="19">
    <w:name w:val="五级条标题"/>
    <w:basedOn w:val="18"/>
    <w:next w:val="10"/>
    <w:qFormat/>
    <w:uiPriority w:val="0"/>
    <w:pPr>
      <w:numPr>
        <w:ilvl w:val="5"/>
      </w:numPr>
      <w:outlineLvl w:val="6"/>
    </w:pPr>
  </w:style>
  <w:style w:type="paragraph" w:customStyle="1" w:styleId="20">
    <w:name w:val="注："/>
    <w:next w:val="10"/>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1">
    <w:name w:val="附录图标号"/>
    <w:basedOn w:val="1"/>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22">
    <w:name w:val="附录图标题"/>
    <w:basedOn w:val="1"/>
    <w:next w:val="10"/>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23">
    <w:name w:val="注×：（正文）"/>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24">
    <w:name w:val="图表脚注说明"/>
    <w:basedOn w:val="1"/>
    <w:qFormat/>
    <w:uiPriority w:val="0"/>
    <w:pPr>
      <w:numPr>
        <w:ilvl w:val="0"/>
        <w:numId w:val="7"/>
      </w:numPr>
    </w:pPr>
    <w:rPr>
      <w:rFonts w:ascii="宋体"/>
      <w:sz w:val="18"/>
      <w:szCs w:val="18"/>
    </w:rPr>
  </w:style>
  <w:style w:type="character" w:customStyle="1" w:styleId="25">
    <w:name w:val="段 Char"/>
    <w:basedOn w:val="8"/>
    <w:link w:val="10"/>
    <w:qFormat/>
    <w:uiPriority w:val="0"/>
    <w:rPr>
      <w:rFonts w:ascii="宋体"/>
      <w:sz w:val="21"/>
      <w:lang w:val="en-US" w:eastAsia="zh-CN" w:bidi="ar-SA"/>
    </w:rPr>
  </w:style>
  <w:style w:type="character" w:customStyle="1" w:styleId="26">
    <w:name w:val="页眉 字符"/>
    <w:basedOn w:val="8"/>
    <w:link w:val="4"/>
    <w:qFormat/>
    <w:uiPriority w:val="0"/>
    <w:rPr>
      <w:kern w:val="2"/>
      <w:sz w:val="18"/>
      <w:szCs w:val="18"/>
    </w:rPr>
  </w:style>
  <w:style w:type="character" w:customStyle="1" w:styleId="27">
    <w:name w:val="页脚 字符"/>
    <w:basedOn w:val="8"/>
    <w:link w:val="3"/>
    <w:qFormat/>
    <w:uiPriority w:val="99"/>
    <w:rPr>
      <w:kern w:val="2"/>
      <w:sz w:val="18"/>
      <w:szCs w:val="18"/>
    </w:rPr>
  </w:style>
  <w:style w:type="paragraph" w:customStyle="1" w:styleId="28">
    <w:name w:val="附录表标题"/>
    <w:basedOn w:val="1"/>
    <w:next w:val="10"/>
    <w:qFormat/>
    <w:uiPriority w:val="0"/>
    <w:pPr>
      <w:numPr>
        <w:ilvl w:val="1"/>
        <w:numId w:val="8"/>
      </w:numPr>
      <w:tabs>
        <w:tab w:val="left" w:pos="180"/>
      </w:tabs>
      <w:spacing w:beforeLines="50" w:afterLines="50"/>
      <w:ind w:left="0" w:firstLine="0"/>
      <w:jc w:val="center"/>
    </w:pPr>
    <w:rPr>
      <w:rFonts w:ascii="黑体" w:eastAsia="黑体"/>
      <w:szCs w:val="21"/>
    </w:rPr>
  </w:style>
  <w:style w:type="paragraph" w:styleId="29">
    <w:name w:val="List Paragraph"/>
    <w:basedOn w:val="1"/>
    <w:unhideWhenUsed/>
    <w:qFormat/>
    <w:uiPriority w:val="34"/>
    <w:pPr>
      <w:ind w:firstLine="420" w:firstLineChars="200"/>
    </w:pPr>
  </w:style>
  <w:style w:type="paragraph" w:customStyle="1" w:styleId="3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1">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32">
    <w:name w:val="发布"/>
    <w:qFormat/>
    <w:uiPriority w:val="0"/>
    <w:rPr>
      <w:rFonts w:ascii="黑体" w:eastAsia="黑体"/>
      <w:spacing w:val="22"/>
      <w:w w:val="100"/>
      <w:position w:val="3"/>
      <w:sz w:val="28"/>
    </w:rPr>
  </w:style>
  <w:style w:type="paragraph" w:customStyle="1" w:styleId="33">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34">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5">
    <w:name w:val="批注框文本 字符"/>
    <w:basedOn w:val="8"/>
    <w:link w:val="2"/>
    <w:semiHidden/>
    <w:qFormat/>
    <w:uiPriority w:val="0"/>
    <w:rPr>
      <w:rFonts w:ascii="Times New Roman" w:hAnsi="Times New Roman"/>
      <w:kern w:val="2"/>
      <w:sz w:val="18"/>
      <w:szCs w:val="18"/>
    </w:rPr>
  </w:style>
  <w:style w:type="paragraph" w:customStyle="1" w:styleId="36">
    <w:name w:val="标准文件_一级条标题"/>
    <w:basedOn w:val="37"/>
    <w:next w:val="34"/>
    <w:qFormat/>
    <w:uiPriority w:val="0"/>
    <w:pPr>
      <w:numPr>
        <w:ilvl w:val="2"/>
      </w:numPr>
      <w:spacing w:beforeLines="50" w:afterLines="50"/>
      <w:outlineLvl w:val="1"/>
    </w:pPr>
  </w:style>
  <w:style w:type="paragraph" w:customStyle="1" w:styleId="37">
    <w:name w:val="标准文件_章标题"/>
    <w:next w:val="34"/>
    <w:qFormat/>
    <w:uiPriority w:val="0"/>
    <w:pPr>
      <w:numPr>
        <w:ilvl w:val="1"/>
        <w:numId w:val="9"/>
      </w:numPr>
      <w:spacing w:beforeLines="100" w:afterLines="100"/>
      <w:jc w:val="both"/>
      <w:outlineLvl w:val="0"/>
    </w:pPr>
    <w:rPr>
      <w:rFonts w:ascii="黑体" w:hAnsi="Times New Roman" w:eastAsia="黑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WWW.YlmF.CoM</Company>
  <Pages>24</Pages>
  <Words>12104</Words>
  <Characters>12275</Characters>
  <Lines>2</Lines>
  <Paragraphs>5</Paragraphs>
  <TotalTime>16</TotalTime>
  <ScaleCrop>false</ScaleCrop>
  <LinksUpToDate>false</LinksUpToDate>
  <CharactersWithSpaces>12322</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2023-08-14T06:51:00Z</dcterms:created>
  <dc:creator>USER</dc:creator>
  <cp:lastModifiedBy>河中鱼</cp:lastModifiedBy>
  <cp:lastPrinted>2019-07-10T11:21:00Z</cp:lastPrinted>
  <dcterms:modified xsi:type="dcterms:W3CDTF">2026-06-30T02:46:50Z</dcterms:modified>
  <dc:title>广西地方标准《脱氢枞酸》（征求意见稿）</dc:title>
  <cp:revision>60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484DF7F1BEB842158BCD0584349217B5</vt:lpwstr>
  </property>
  <property fmtid="{D5CDD505-2E9C-101B-9397-08002B2CF9AE}" pid="4" name="KSOTemplateDocerSaveRecord">
    <vt:lpwstr>eyJoZGlkIjoiYWU5ODIyNDQzMTFlYmNiMzlhMmFkNjExNWM2YjM4YTYiLCJ1c2VySWQiOiIxNjgzMDY0NzMzIn0=</vt:lpwstr>
  </property>
</Properties>
</file>